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C3" w:rsidRPr="00F62E20" w:rsidRDefault="00EF5501" w:rsidP="00DA5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F62E20">
        <w:rPr>
          <w:rFonts w:ascii="Marianne" w:hAnsi="Marianne"/>
          <w:b/>
          <w:sz w:val="28"/>
          <w:szCs w:val="28"/>
        </w:rPr>
        <w:t xml:space="preserve">Annexe </w:t>
      </w:r>
      <w:r w:rsidR="00C9293D" w:rsidRPr="00F62E20">
        <w:rPr>
          <w:rFonts w:ascii="Marianne" w:hAnsi="Marianne"/>
          <w:b/>
          <w:sz w:val="28"/>
          <w:szCs w:val="28"/>
        </w:rPr>
        <w:t>4</w:t>
      </w:r>
    </w:p>
    <w:p w:rsidR="007406E4" w:rsidRPr="00F62E20" w:rsidRDefault="008F220B" w:rsidP="00DA5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F62E20">
        <w:rPr>
          <w:rFonts w:ascii="Marianne" w:hAnsi="Marianne"/>
          <w:b/>
          <w:sz w:val="28"/>
          <w:szCs w:val="28"/>
        </w:rPr>
        <w:t>Les services d’intérêt général</w:t>
      </w:r>
    </w:p>
    <w:p w:rsidR="00353B77" w:rsidRPr="00F62E20" w:rsidRDefault="00353B77" w:rsidP="00DA5BC3">
      <w:pPr>
        <w:spacing w:before="120"/>
        <w:jc w:val="center"/>
        <w:rPr>
          <w:rFonts w:ascii="Marianne" w:hAnsi="Marianne"/>
          <w:bCs/>
          <w:i/>
          <w:sz w:val="20"/>
          <w:szCs w:val="20"/>
        </w:rPr>
      </w:pPr>
      <w:r w:rsidRPr="00F62E20">
        <w:rPr>
          <w:rFonts w:ascii="Marianne" w:hAnsi="Marianne"/>
          <w:bCs/>
          <w:i/>
          <w:sz w:val="20"/>
          <w:szCs w:val="20"/>
        </w:rPr>
        <w:t xml:space="preserve">Les éléments rappelés dans les annexes </w:t>
      </w:r>
      <w:r w:rsidR="00201BA4" w:rsidRPr="00F62E20">
        <w:rPr>
          <w:rFonts w:ascii="Marianne" w:hAnsi="Marianne"/>
          <w:bCs/>
          <w:i/>
          <w:sz w:val="20"/>
          <w:szCs w:val="20"/>
        </w:rPr>
        <w:t>4 à</w:t>
      </w:r>
      <w:r w:rsidR="00B007D6" w:rsidRPr="00F62E20">
        <w:rPr>
          <w:rFonts w:ascii="Marianne" w:hAnsi="Marianne"/>
          <w:bCs/>
          <w:i/>
          <w:sz w:val="20"/>
          <w:szCs w:val="20"/>
        </w:rPr>
        <w:t xml:space="preserve"> 7 </w:t>
      </w:r>
      <w:r w:rsidRPr="00F62E20">
        <w:rPr>
          <w:rFonts w:ascii="Marianne" w:hAnsi="Marianne"/>
          <w:bCs/>
          <w:i/>
          <w:sz w:val="20"/>
          <w:szCs w:val="20"/>
        </w:rPr>
        <w:t>font l’objet de développements détaillés dans le</w:t>
      </w:r>
      <w:r w:rsidR="009900FC" w:rsidRPr="00F62E20">
        <w:rPr>
          <w:rFonts w:ascii="Marianne" w:hAnsi="Marianne"/>
          <w:bCs/>
          <w:i/>
          <w:sz w:val="20"/>
          <w:szCs w:val="20"/>
        </w:rPr>
        <w:t>s</w:t>
      </w:r>
      <w:r w:rsidRPr="00F62E20">
        <w:rPr>
          <w:rFonts w:ascii="Marianne" w:hAnsi="Marianne"/>
          <w:bCs/>
          <w:i/>
          <w:sz w:val="20"/>
          <w:szCs w:val="20"/>
        </w:rPr>
        <w:t xml:space="preserve"> guide</w:t>
      </w:r>
      <w:r w:rsidR="009900FC" w:rsidRPr="00F62E20">
        <w:rPr>
          <w:rFonts w:ascii="Marianne" w:hAnsi="Marianne"/>
          <w:bCs/>
          <w:i/>
          <w:sz w:val="20"/>
          <w:szCs w:val="20"/>
        </w:rPr>
        <w:t>s</w:t>
      </w:r>
      <w:r w:rsidRPr="00F62E20">
        <w:rPr>
          <w:rFonts w:ascii="Marianne" w:hAnsi="Marianne"/>
          <w:bCs/>
          <w:i/>
          <w:sz w:val="20"/>
          <w:szCs w:val="20"/>
        </w:rPr>
        <w:t xml:space="preserve"> </w:t>
      </w:r>
      <w:r w:rsidR="009900FC" w:rsidRPr="00F62E20">
        <w:rPr>
          <w:rFonts w:ascii="Marianne" w:hAnsi="Marianne"/>
          <w:bCs/>
          <w:i/>
          <w:sz w:val="20"/>
          <w:szCs w:val="20"/>
        </w:rPr>
        <w:t>mentionnés dans la note d’instruction qui pourront</w:t>
      </w:r>
      <w:r w:rsidRPr="00F62E20">
        <w:rPr>
          <w:rFonts w:ascii="Marianne" w:hAnsi="Marianne"/>
          <w:bCs/>
          <w:i/>
          <w:sz w:val="20"/>
          <w:szCs w:val="20"/>
        </w:rPr>
        <w:t xml:space="preserve"> être utilement consulté</w:t>
      </w:r>
      <w:r w:rsidR="009900FC" w:rsidRPr="00F62E20">
        <w:rPr>
          <w:rFonts w:ascii="Marianne" w:hAnsi="Marianne"/>
          <w:bCs/>
          <w:i/>
          <w:sz w:val="20"/>
          <w:szCs w:val="20"/>
        </w:rPr>
        <w:t>s</w:t>
      </w:r>
      <w:r w:rsidR="00DA5BC3" w:rsidRPr="00F62E20">
        <w:rPr>
          <w:rFonts w:ascii="Marianne" w:hAnsi="Marianne"/>
          <w:bCs/>
          <w:i/>
          <w:sz w:val="20"/>
          <w:szCs w:val="20"/>
        </w:rPr>
        <w:t xml:space="preserve"> pour plus de </w:t>
      </w:r>
      <w:r w:rsidRPr="00F62E20">
        <w:rPr>
          <w:rFonts w:ascii="Marianne" w:hAnsi="Marianne"/>
          <w:bCs/>
          <w:i/>
          <w:sz w:val="20"/>
          <w:szCs w:val="20"/>
        </w:rPr>
        <w:t>précisions.</w:t>
      </w:r>
    </w:p>
    <w:p w:rsidR="00320C93" w:rsidRPr="00F62E20" w:rsidRDefault="00F62E20" w:rsidP="00DC7CD8">
      <w:pPr>
        <w:jc w:val="center"/>
        <w:rPr>
          <w:rFonts w:ascii="Marianne" w:hAnsi="Marianne"/>
          <w:b/>
          <w:sz w:val="28"/>
          <w:szCs w:val="28"/>
        </w:rPr>
      </w:pPr>
      <w:r w:rsidRPr="00F62E20">
        <w:rPr>
          <w:rFonts w:ascii="Marianne" w:hAnsi="Marianne"/>
          <w:noProof/>
          <w:sz w:val="28"/>
          <w:szCs w:val="28"/>
          <w:lang w:eastAsia="fr-FR"/>
        </w:rPr>
        <w:pict>
          <v:group id="_x0000_s1045" style="position:absolute;left:0;text-align:left;margin-left:-52.1pt;margin-top:2.5pt;width:559.5pt;height:690.6pt;z-index:251657728" coordorigin="375,2073" coordsize="11190,13812">
            <v:rect id="_x0000_s1026" style="position:absolute;left:480;top:2073;width:10965;height:912">
              <v:textbox style="mso-next-textbox:#_x0000_s1026">
                <w:txbxContent>
                  <w:p w:rsidR="00F845BD" w:rsidRPr="00F62E20" w:rsidRDefault="00F845BD" w:rsidP="00F845BD">
                    <w:pPr>
                      <w:spacing w:after="0"/>
                      <w:ind w:firstLine="360"/>
                      <w:jc w:val="center"/>
                      <w:rPr>
                        <w:rFonts w:ascii="Marianne" w:hAnsi="Marianne"/>
                        <w:b/>
                        <w:sz w:val="24"/>
                        <w:szCs w:val="24"/>
                      </w:rPr>
                    </w:pPr>
                    <w:r w:rsidRPr="00F62E20">
                      <w:rPr>
                        <w:rFonts w:ascii="Marianne" w:hAnsi="Marianne"/>
                        <w:b/>
                        <w:sz w:val="24"/>
                        <w:szCs w:val="24"/>
                      </w:rPr>
                      <w:t>S</w:t>
                    </w:r>
                    <w:r w:rsidR="00DA5BC3" w:rsidRPr="00F62E20">
                      <w:rPr>
                        <w:rFonts w:ascii="Marianne" w:hAnsi="Marianne"/>
                        <w:b/>
                        <w:sz w:val="24"/>
                        <w:szCs w:val="24"/>
                      </w:rPr>
                      <w:t>IG (s</w:t>
                    </w:r>
                    <w:r w:rsidRPr="00F62E20">
                      <w:rPr>
                        <w:rFonts w:ascii="Marianne" w:hAnsi="Marianne"/>
                        <w:b/>
                        <w:sz w:val="24"/>
                        <w:szCs w:val="24"/>
                      </w:rPr>
                      <w:t>ervice d’intérêt général)</w:t>
                    </w:r>
                  </w:p>
                  <w:p w:rsidR="00F845BD" w:rsidRPr="00F62E20" w:rsidRDefault="00DA5BC3" w:rsidP="00F845BD">
                    <w:pPr>
                      <w:spacing w:after="0"/>
                      <w:ind w:firstLine="360"/>
                      <w:jc w:val="center"/>
                      <w:rPr>
                        <w:rFonts w:ascii="Marianne" w:hAnsi="Marianne"/>
                        <w:sz w:val="24"/>
                        <w:szCs w:val="24"/>
                      </w:rPr>
                    </w:pPr>
                    <w:r w:rsidRPr="00F62E20">
                      <w:rPr>
                        <w:rFonts w:ascii="Marianne" w:hAnsi="Marianne"/>
                        <w:sz w:val="24"/>
                        <w:szCs w:val="24"/>
                      </w:rPr>
                      <w:sym w:font="Wingdings" w:char="F046"/>
                    </w:r>
                    <w:r w:rsidRPr="00F62E20">
                      <w:rPr>
                        <w:rFonts w:ascii="Marianne" w:hAnsi="Marianne"/>
                        <w:sz w:val="24"/>
                        <w:szCs w:val="24"/>
                      </w:rPr>
                      <w:t xml:space="preserve"> Protocole 26 du TFUE</w:t>
                    </w:r>
                  </w:p>
                </w:txbxContent>
              </v:textbox>
            </v:rect>
            <v:rect id="_x0000_s1027" style="position:absolute;left:3480;top:3240;width:4905;height:762">
              <v:textbox>
                <w:txbxContent>
                  <w:p w:rsidR="00D315D5" w:rsidRPr="00F62E20" w:rsidRDefault="00F845BD" w:rsidP="00D315D5">
                    <w:pPr>
                      <w:spacing w:after="0"/>
                      <w:jc w:val="center"/>
                      <w:rPr>
                        <w:rFonts w:ascii="Marianne" w:hAnsi="Marianne"/>
                      </w:rPr>
                    </w:pPr>
                    <w:r w:rsidRPr="00F62E20">
                      <w:rPr>
                        <w:rFonts w:ascii="Marianne" w:hAnsi="Marianne"/>
                        <w:b/>
                      </w:rPr>
                      <w:t>Communication de la Commission</w:t>
                    </w:r>
                    <w:r w:rsidRPr="00F62E20">
                      <w:rPr>
                        <w:rFonts w:cs="Calibri"/>
                      </w:rPr>
                      <w:t> </w:t>
                    </w:r>
                    <w:r w:rsidRPr="00F62E20">
                      <w:rPr>
                        <w:rFonts w:ascii="Marianne" w:hAnsi="Marianne"/>
                      </w:rPr>
                      <w:t>:</w:t>
                    </w:r>
                  </w:p>
                  <w:p w:rsidR="00F845BD" w:rsidRPr="00F62E20" w:rsidRDefault="00F845BD" w:rsidP="00D315D5">
                    <w:pPr>
                      <w:spacing w:after="0"/>
                      <w:jc w:val="center"/>
                      <w:rPr>
                        <w:rFonts w:ascii="Marianne" w:hAnsi="Marianne"/>
                      </w:rPr>
                    </w:pPr>
                    <w:r w:rsidRPr="00F62E20">
                      <w:rPr>
                        <w:rFonts w:ascii="Marianne" w:hAnsi="Marianne"/>
                      </w:rPr>
                      <w:t xml:space="preserve"> clarification des concepts</w:t>
                    </w:r>
                  </w:p>
                </w:txbxContent>
              </v:textbox>
            </v:rect>
            <v:rect id="_x0000_s1028" style="position:absolute;left:480;top:4335;width:5340;height:1032">
              <v:textbox>
                <w:txbxContent>
                  <w:p w:rsidR="00F845BD" w:rsidRPr="00F62E20" w:rsidRDefault="00F845BD" w:rsidP="00643E85">
                    <w:pPr>
                      <w:jc w:val="center"/>
                      <w:rPr>
                        <w:rFonts w:ascii="Marianne" w:hAnsi="Marianne"/>
                        <w:b/>
                      </w:rPr>
                    </w:pPr>
                    <w:r w:rsidRPr="00F62E20">
                      <w:rPr>
                        <w:rFonts w:ascii="Marianne" w:hAnsi="Marianne"/>
                        <w:b/>
                      </w:rPr>
                      <w:t>SIEG</w:t>
                    </w:r>
                  </w:p>
                  <w:p w:rsidR="00F845BD" w:rsidRPr="00F62E20" w:rsidRDefault="00F845BD" w:rsidP="00643E85">
                    <w:pPr>
                      <w:jc w:val="center"/>
                      <w:rPr>
                        <w:rFonts w:ascii="Marianne" w:hAnsi="Marianne"/>
                      </w:rPr>
                    </w:pPr>
                    <w:r w:rsidRPr="00F62E20">
                      <w:rPr>
                        <w:rFonts w:ascii="Marianne" w:hAnsi="Marianne"/>
                      </w:rPr>
                      <w:t>(Service d’intérêt économique général)</w:t>
                    </w:r>
                  </w:p>
                </w:txbxContent>
              </v:textbox>
            </v:rect>
            <v:rect id="_x0000_s1029" style="position:absolute;left:6570;top:4335;width:4995;height:1032">
              <v:textbox>
                <w:txbxContent>
                  <w:p w:rsidR="00F845BD" w:rsidRPr="00F62E20" w:rsidRDefault="00F845BD" w:rsidP="00643E85">
                    <w:pPr>
                      <w:jc w:val="center"/>
                      <w:rPr>
                        <w:rFonts w:ascii="Marianne" w:hAnsi="Marianne"/>
                        <w:b/>
                      </w:rPr>
                    </w:pPr>
                    <w:r w:rsidRPr="00F62E20">
                      <w:rPr>
                        <w:rFonts w:ascii="Marianne" w:hAnsi="Marianne"/>
                        <w:b/>
                      </w:rPr>
                      <w:t>SNEIG</w:t>
                    </w:r>
                  </w:p>
                  <w:p w:rsidR="00F845BD" w:rsidRPr="00F62E20" w:rsidRDefault="00F845BD" w:rsidP="00643E85">
                    <w:pPr>
                      <w:jc w:val="center"/>
                      <w:rPr>
                        <w:rFonts w:ascii="Marianne" w:hAnsi="Marianne"/>
                      </w:rPr>
                    </w:pPr>
                    <w:r w:rsidRPr="00F62E20">
                      <w:rPr>
                        <w:rFonts w:ascii="Marianne" w:hAnsi="Marianne"/>
                      </w:rPr>
                      <w:t>(Service non économique d’intérêt général)</w:t>
                    </w:r>
                  </w:p>
                </w:txbxContent>
              </v:textbox>
            </v:rect>
            <v:rect id="_x0000_s1030" style="position:absolute;left:6630;top:6045;width:4935;height:4560">
              <v:textbox>
                <w:txbxContent>
                  <w:p w:rsidR="00F845BD" w:rsidRPr="00F62E20" w:rsidRDefault="00F845BD" w:rsidP="0024313B">
                    <w:pPr>
                      <w:jc w:val="center"/>
                      <w:rPr>
                        <w:rFonts w:ascii="Marianne" w:hAnsi="Marianne"/>
                        <w:b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Définition</w:t>
                    </w:r>
                  </w:p>
                  <w:p w:rsidR="00F845BD" w:rsidRPr="00F62E20" w:rsidRDefault="00DA5BC3" w:rsidP="0024313B">
                    <w:pPr>
                      <w:jc w:val="both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Cette notion, à la conception très restrictive, ne comprend que</w:t>
                    </w:r>
                    <w:r w:rsidR="00F845BD" w:rsidRPr="00F62E20">
                      <w:rPr>
                        <w:rFonts w:cs="Calibri"/>
                        <w:sz w:val="20"/>
                        <w:szCs w:val="20"/>
                      </w:rPr>
                      <w:t> 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 xml:space="preserve">: </w:t>
                    </w:r>
                  </w:p>
                  <w:p w:rsidR="00F845BD" w:rsidRPr="00F62E20" w:rsidRDefault="00DA5BC3" w:rsidP="0024313B">
                    <w:pPr>
                      <w:numPr>
                        <w:ilvl w:val="0"/>
                        <w:numId w:val="6"/>
                      </w:numPr>
                      <w:jc w:val="both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les activités correspondant à l’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>«</w:t>
                    </w:r>
                    <w:r w:rsidR="00F845BD" w:rsidRPr="00F62E20">
                      <w:rPr>
                        <w:rFonts w:cs="Calibri"/>
                        <w:sz w:val="20"/>
                        <w:szCs w:val="20"/>
                      </w:rPr>
                      <w:t> </w:t>
                    </w:r>
                    <w:r w:rsidR="00F845BD" w:rsidRPr="00F62E20">
                      <w:rPr>
                        <w:rFonts w:ascii="Marianne" w:hAnsi="Marianne"/>
                        <w:i/>
                        <w:sz w:val="20"/>
                        <w:szCs w:val="20"/>
                      </w:rPr>
                      <w:t>exercice de l’autorité publique</w:t>
                    </w:r>
                    <w:r w:rsidR="00F845BD" w:rsidRPr="00F62E20">
                      <w:rPr>
                        <w:rFonts w:cs="Calibri"/>
                        <w:sz w:val="20"/>
                        <w:szCs w:val="20"/>
                      </w:rPr>
                      <w:t> </w:t>
                    </w:r>
                    <w:r w:rsidR="00F845BD" w:rsidRPr="00F62E20">
                      <w:rPr>
                        <w:rFonts w:ascii="Marianne" w:hAnsi="Marianne" w:cs="Marianne"/>
                        <w:sz w:val="20"/>
                        <w:szCs w:val="20"/>
                      </w:rPr>
                      <w:t>»</w:t>
                    </w:r>
                    <w:r w:rsidR="00F845BD" w:rsidRPr="00F62E20">
                      <w:rPr>
                        <w:rFonts w:cs="Calibri"/>
                        <w:sz w:val="20"/>
                        <w:szCs w:val="20"/>
                      </w:rPr>
                      <w:t> 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>;</w:t>
                    </w:r>
                  </w:p>
                  <w:p w:rsidR="00F845BD" w:rsidRPr="00F62E20" w:rsidRDefault="00DA5BC3" w:rsidP="0024313B">
                    <w:pPr>
                      <w:numPr>
                        <w:ilvl w:val="0"/>
                        <w:numId w:val="6"/>
                      </w:numPr>
                      <w:jc w:val="both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 xml:space="preserve">les 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>activités exclusivement sociales répondant à des exigences de solidarité nationale et dépourvues de tout but lucratif (sécurité sociale)</w:t>
                    </w:r>
                    <w:r w:rsidR="00F845BD" w:rsidRPr="00F62E20">
                      <w:rPr>
                        <w:rFonts w:cs="Calibri"/>
                        <w:sz w:val="20"/>
                        <w:szCs w:val="20"/>
                      </w:rPr>
                      <w:t> 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>;</w:t>
                    </w:r>
                  </w:p>
                  <w:p w:rsidR="00F845BD" w:rsidRPr="00F62E20" w:rsidRDefault="00DA5BC3" w:rsidP="0024313B">
                    <w:pPr>
                      <w:numPr>
                        <w:ilvl w:val="0"/>
                        <w:numId w:val="6"/>
                      </w:numPr>
                      <w:jc w:val="both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l’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>enseignement public</w:t>
                    </w:r>
                    <w:r w:rsidR="00697267" w:rsidRPr="00F62E20">
                      <w:rPr>
                        <w:rFonts w:ascii="Marianne" w:hAnsi="Marianne"/>
                        <w:sz w:val="20"/>
                        <w:szCs w:val="20"/>
                      </w:rPr>
                      <w:t>.</w:t>
                    </w:r>
                  </w:p>
                  <w:p w:rsidR="00F845BD" w:rsidRPr="00F62E20" w:rsidRDefault="00F845BD" w:rsidP="0024313B">
                    <w:pPr>
                      <w:jc w:val="both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L’absence de rémunération permet d’échapper à la qualification d’économique.</w:t>
                    </w:r>
                  </w:p>
                </w:txbxContent>
              </v:textbox>
            </v:rect>
            <v:rect id="_x0000_s1031" style="position:absolute;left:480;top:6045;width:5340;height:3810">
              <v:textbox style="mso-next-textbox:#_x0000_s1031">
                <w:txbxContent>
                  <w:p w:rsidR="00F845BD" w:rsidRPr="00F62E20" w:rsidRDefault="00F845BD" w:rsidP="00E53187">
                    <w:pPr>
                      <w:jc w:val="center"/>
                      <w:rPr>
                        <w:rFonts w:ascii="Marianne" w:hAnsi="Marianne"/>
                        <w:b/>
                        <w:sz w:val="16"/>
                        <w:szCs w:val="16"/>
                      </w:rPr>
                    </w:pPr>
                    <w:r w:rsidRPr="00F62E20">
                      <w:rPr>
                        <w:rFonts w:ascii="Marianne" w:hAnsi="Marianne"/>
                        <w:b/>
                        <w:sz w:val="16"/>
                        <w:szCs w:val="16"/>
                      </w:rPr>
                      <w:t>Définition</w:t>
                    </w:r>
                  </w:p>
                  <w:p w:rsidR="00F845BD" w:rsidRPr="00F62E20" w:rsidRDefault="00F845BD" w:rsidP="004B5594">
                    <w:pPr>
                      <w:jc w:val="both"/>
                      <w:rPr>
                        <w:rFonts w:ascii="Marianne" w:hAnsi="Marianne"/>
                        <w:sz w:val="18"/>
                        <w:szCs w:val="16"/>
                      </w:rPr>
                    </w:pP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 xml:space="preserve">Selon la </w:t>
                    </w:r>
                    <w:r w:rsidR="005C2FE3" w:rsidRPr="00F62E20">
                      <w:rPr>
                        <w:rFonts w:ascii="Marianne" w:hAnsi="Marianne"/>
                        <w:sz w:val="18"/>
                        <w:szCs w:val="16"/>
                      </w:rPr>
                      <w:t>jurisprudence</w:t>
                    </w: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 xml:space="preserve"> de la CJUE, trois conditions doivent être réunies pour qu’une activité soi</w:t>
                    </w:r>
                    <w:r w:rsidR="00970155" w:rsidRPr="00F62E20">
                      <w:rPr>
                        <w:rFonts w:ascii="Marianne" w:hAnsi="Marianne"/>
                        <w:sz w:val="18"/>
                        <w:szCs w:val="16"/>
                      </w:rPr>
                      <w:t>t</w:t>
                    </w: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 xml:space="preserve"> qualifiée de SIEG</w:t>
                    </w:r>
                    <w:r w:rsidRPr="00F62E20">
                      <w:rPr>
                        <w:rFonts w:cs="Calibri"/>
                        <w:sz w:val="18"/>
                        <w:szCs w:val="16"/>
                      </w:rPr>
                      <w:t> </w:t>
                    </w: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 xml:space="preserve">: </w:t>
                    </w:r>
                  </w:p>
                  <w:p w:rsidR="00F845BD" w:rsidRPr="00F62E20" w:rsidRDefault="00F845BD" w:rsidP="0024313B">
                    <w:pPr>
                      <w:numPr>
                        <w:ilvl w:val="0"/>
                        <w:numId w:val="5"/>
                      </w:numPr>
                      <w:jc w:val="both"/>
                      <w:rPr>
                        <w:rFonts w:ascii="Marianne" w:hAnsi="Marianne"/>
                        <w:sz w:val="18"/>
                        <w:szCs w:val="16"/>
                      </w:rPr>
                    </w:pP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>l’activité est économique au sens du droit de la concurrence (activité consistant à offrir des biens et des services sur un marché donné)</w:t>
                    </w:r>
                    <w:r w:rsidRPr="00F62E20">
                      <w:rPr>
                        <w:rFonts w:cs="Calibri"/>
                        <w:sz w:val="18"/>
                        <w:szCs w:val="16"/>
                      </w:rPr>
                      <w:t> </w:t>
                    </w: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>;</w:t>
                    </w:r>
                  </w:p>
                  <w:p w:rsidR="00F845BD" w:rsidRPr="00F62E20" w:rsidRDefault="00F845BD" w:rsidP="0024313B">
                    <w:pPr>
                      <w:numPr>
                        <w:ilvl w:val="0"/>
                        <w:numId w:val="5"/>
                      </w:numPr>
                      <w:jc w:val="both"/>
                      <w:rPr>
                        <w:rFonts w:ascii="Marianne" w:hAnsi="Marianne"/>
                        <w:sz w:val="18"/>
                        <w:szCs w:val="16"/>
                      </w:rPr>
                    </w:pP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>l’activité a été confiée à une entreprise par un acte exprès de la puissance publique</w:t>
                    </w:r>
                    <w:r w:rsidRPr="00F62E20">
                      <w:rPr>
                        <w:rFonts w:cs="Calibri"/>
                        <w:sz w:val="18"/>
                        <w:szCs w:val="16"/>
                      </w:rPr>
                      <w:t> </w:t>
                    </w: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>;</w:t>
                    </w:r>
                  </w:p>
                  <w:p w:rsidR="00F845BD" w:rsidRPr="00F62E20" w:rsidRDefault="00F845BD" w:rsidP="00F62E20">
                    <w:pPr>
                      <w:numPr>
                        <w:ilvl w:val="0"/>
                        <w:numId w:val="5"/>
                      </w:numPr>
                      <w:jc w:val="both"/>
                      <w:rPr>
                        <w:rFonts w:ascii="Marianne" w:hAnsi="Marianne"/>
                        <w:sz w:val="18"/>
                        <w:szCs w:val="16"/>
                      </w:rPr>
                    </w:pPr>
                    <w:r w:rsidRPr="00F62E20">
                      <w:rPr>
                        <w:rFonts w:ascii="Marianne" w:hAnsi="Marianne"/>
                        <w:sz w:val="18"/>
                        <w:szCs w:val="16"/>
                      </w:rPr>
                      <w:t>l’activité revêt un caractère d’intérêt général.</w:t>
                    </w:r>
                  </w:p>
                </w:txbxContent>
              </v:textbox>
            </v:rect>
            <v:rect id="_x0000_s1032" style="position:absolute;left:375;top:11100;width:5445;height:2100">
              <v:textbox>
                <w:txbxContent>
                  <w:p w:rsidR="00F845BD" w:rsidRPr="00F62E20" w:rsidRDefault="00F845BD" w:rsidP="005467C6">
                    <w:pPr>
                      <w:jc w:val="center"/>
                      <w:rPr>
                        <w:rFonts w:ascii="Marianne" w:hAnsi="Marianne"/>
                        <w:b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Article 106§2 du TFUE</w:t>
                    </w:r>
                  </w:p>
                  <w:p w:rsidR="00F845BD" w:rsidRPr="00F62E20" w:rsidRDefault="00F845BD" w:rsidP="005467C6">
                    <w:pPr>
                      <w:jc w:val="center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Autoris</w:t>
                    </w:r>
                    <w:r w:rsidR="00DA5BC3" w:rsidRPr="00F62E20">
                      <w:rPr>
                        <w:rFonts w:ascii="Marianne" w:hAnsi="Marianne"/>
                        <w:sz w:val="20"/>
                        <w:szCs w:val="20"/>
                      </w:rPr>
                      <w:t xml:space="preserve">ation de </w:t>
                    </w: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dérogations aux règles du Traité pour les entreprises chargées de la gestion d’un SIEG dès lors que ces dérogations sont nécessaires à l’accomplissement de la mission qui leur a été confiée.</w:t>
                    </w:r>
                  </w:p>
                </w:txbxContent>
              </v:textbox>
            </v:rect>
            <v:rect id="_x0000_s1033" style="position:absolute;left:375;top:14355;width:5445;height:1530">
              <v:textbox style="mso-next-textbox:#_x0000_s1033">
                <w:txbxContent>
                  <w:p w:rsidR="00F845BD" w:rsidRPr="00F62E20" w:rsidRDefault="00F845BD" w:rsidP="008430AE">
                    <w:pPr>
                      <w:jc w:val="center"/>
                      <w:rPr>
                        <w:rFonts w:ascii="Marianne" w:hAnsi="Marianne"/>
                        <w:b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Financement</w:t>
                    </w: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 xml:space="preserve"> </w:t>
                    </w:r>
                    <w:r w:rsidRPr="00F62E20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des SIEG</w:t>
                    </w:r>
                  </w:p>
                  <w:p w:rsidR="00F845BD" w:rsidRPr="00F62E20" w:rsidRDefault="00F845BD" w:rsidP="000C5870">
                    <w:pPr>
                      <w:jc w:val="center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Application d’un corpus de règles pour les compensations d’obligations de service public.</w:t>
                    </w:r>
                  </w:p>
                </w:txbxContent>
              </v:textbox>
            </v:rect>
            <v:rect id="_x0000_s1034" style="position:absolute;left:6630;top:14430;width:4935;height:1185">
              <v:textbox style="mso-next-textbox:#_x0000_s1034">
                <w:txbxContent>
                  <w:p w:rsidR="00F845BD" w:rsidRPr="00F62E20" w:rsidRDefault="00F845BD" w:rsidP="00F845BD">
                    <w:pPr>
                      <w:jc w:val="center"/>
                      <w:rPr>
                        <w:rFonts w:ascii="Marianne" w:hAnsi="Marianne"/>
                        <w:b/>
                        <w:sz w:val="20"/>
                        <w:szCs w:val="20"/>
                      </w:rPr>
                    </w:pPr>
                    <w:bookmarkStart w:id="0" w:name="_GoBack"/>
                    <w:r w:rsidRPr="00F62E20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Financement des SNEIG</w:t>
                    </w:r>
                  </w:p>
                  <w:p w:rsidR="00F845BD" w:rsidRPr="00F62E20" w:rsidRDefault="00F845BD" w:rsidP="00F845BD">
                    <w:pPr>
                      <w:jc w:val="center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Libre</w:t>
                    </w:r>
                    <w:bookmarkEnd w:id="0"/>
                  </w:p>
                </w:txbxContent>
              </v:textbox>
            </v:rect>
            <v:rect id="_x0000_s1036" style="position:absolute;left:6630;top:11100;width:4935;height:2565">
              <v:textbox>
                <w:txbxContent>
                  <w:p w:rsidR="00F845BD" w:rsidRPr="00F62E20" w:rsidRDefault="00F845BD" w:rsidP="00EA5B36">
                    <w:pPr>
                      <w:jc w:val="center"/>
                      <w:rPr>
                        <w:rFonts w:ascii="Marianne" w:hAnsi="Marianne"/>
                        <w:b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Non soumission aux règles du Traité</w:t>
                    </w:r>
                  </w:p>
                  <w:p w:rsidR="00F845BD" w:rsidRPr="00F62E20" w:rsidRDefault="00DA5BC3" w:rsidP="0045634A">
                    <w:pPr>
                      <w:jc w:val="both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sym w:font="Wingdings" w:char="F046"/>
                    </w: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 xml:space="preserve"> 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>Article 2 du Protocole 26 sur les SIG</w:t>
                    </w:r>
                    <w:r w:rsidR="00F845BD" w:rsidRPr="00F62E20">
                      <w:rPr>
                        <w:rFonts w:cs="Calibri"/>
                        <w:sz w:val="20"/>
                        <w:szCs w:val="20"/>
                      </w:rPr>
                      <w:t> </w:t>
                    </w:r>
                    <w:r w:rsidR="00F845BD" w:rsidRPr="00F62E20">
                      <w:rPr>
                        <w:rFonts w:ascii="Marianne" w:hAnsi="Marianne"/>
                        <w:sz w:val="20"/>
                        <w:szCs w:val="20"/>
                      </w:rPr>
                      <w:t xml:space="preserve">: </w:t>
                    </w:r>
                  </w:p>
                  <w:p w:rsidR="00F845BD" w:rsidRPr="00F62E20" w:rsidRDefault="00F845BD" w:rsidP="0045634A">
                    <w:pPr>
                      <w:jc w:val="both"/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«</w:t>
                    </w:r>
                    <w:r w:rsidRPr="00F62E20">
                      <w:rPr>
                        <w:rFonts w:cs="Calibri"/>
                        <w:sz w:val="20"/>
                        <w:szCs w:val="20"/>
                      </w:rPr>
                      <w:t> </w:t>
                    </w:r>
                    <w:r w:rsidRPr="00F62E20">
                      <w:rPr>
                        <w:rFonts w:ascii="Marianne" w:hAnsi="Marianne"/>
                        <w:i/>
                        <w:sz w:val="20"/>
                        <w:szCs w:val="20"/>
                      </w:rPr>
                      <w:t>Les dispositions des traités ne portent en aucune manière atteinte à la compétence des Etats-membres pour fournir, faire exécuter et organiser des services non économiques d’intérêt général</w:t>
                    </w:r>
                    <w:r w:rsidRPr="00F62E20">
                      <w:rPr>
                        <w:rFonts w:cs="Calibri"/>
                        <w:i/>
                        <w:sz w:val="20"/>
                        <w:szCs w:val="20"/>
                      </w:rPr>
                      <w:t> </w:t>
                    </w:r>
                    <w:r w:rsidRPr="00F62E20">
                      <w:rPr>
                        <w:rFonts w:ascii="Marianne" w:hAnsi="Marianne"/>
                        <w:sz w:val="20"/>
                        <w:szCs w:val="20"/>
                      </w:rPr>
                      <w:t>».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2550;top:2985;width:0;height:1350" o:connectortype="straight">
              <v:stroke endarrow="block"/>
            </v:shape>
            <v:shape id="_x0000_s1038" type="#_x0000_t32" style="position:absolute;left:9285;top:2985;width:0;height:1350" o:connectortype="straight">
              <v:stroke endarrow="block"/>
            </v:shape>
            <v:shape id="_x0000_s1039" type="#_x0000_t32" style="position:absolute;left:3120;top:5367;width:0;height:678" o:connectortype="straight">
              <v:stroke endarrow="block"/>
            </v:shape>
            <v:shape id="_x0000_s1040" type="#_x0000_t32" style="position:absolute;left:9285;top:5367;width:0;height:678" o:connectortype="straight">
              <v:stroke endarrow="block"/>
            </v:shape>
            <v:shape id="_x0000_s1041" type="#_x0000_t32" style="position:absolute;left:3120;top:9855;width:0;height:1245" o:connectortype="straight">
              <v:stroke endarrow="block"/>
            </v:shape>
            <v:shape id="_x0000_s1042" type="#_x0000_t32" style="position:absolute;left:9225;top:10605;width:0;height:495" o:connectortype="straight">
              <v:stroke endarrow="block"/>
            </v:shape>
            <v:shape id="_x0000_s1043" type="#_x0000_t32" style="position:absolute;left:3030;top:13200;width:0;height:1155" o:connectortype="straight">
              <v:stroke endarrow="block"/>
            </v:shape>
            <v:shape id="_x0000_s1044" type="#_x0000_t32" style="position:absolute;left:9225;top:13665;width:0;height:765" o:connectortype="straight">
              <v:stroke endarrow="block"/>
            </v:shape>
          </v:group>
        </w:pict>
      </w:r>
    </w:p>
    <w:sectPr w:rsidR="00320C93" w:rsidRPr="00F62E20" w:rsidSect="009B436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41" w:rsidRDefault="00095041" w:rsidP="000C410D">
      <w:pPr>
        <w:spacing w:after="0" w:line="240" w:lineRule="auto"/>
      </w:pPr>
      <w:r>
        <w:separator/>
      </w:r>
    </w:p>
  </w:endnote>
  <w:endnote w:type="continuationSeparator" w:id="0">
    <w:p w:rsidR="00095041" w:rsidRDefault="00095041" w:rsidP="000C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41" w:rsidRDefault="00095041" w:rsidP="000C410D">
      <w:pPr>
        <w:spacing w:after="0" w:line="240" w:lineRule="auto"/>
      </w:pPr>
      <w:r>
        <w:separator/>
      </w:r>
    </w:p>
  </w:footnote>
  <w:footnote w:type="continuationSeparator" w:id="0">
    <w:p w:rsidR="00095041" w:rsidRDefault="00095041" w:rsidP="000C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0A78"/>
    <w:multiLevelType w:val="hybridMultilevel"/>
    <w:tmpl w:val="9B14B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35000"/>
    <w:multiLevelType w:val="hybridMultilevel"/>
    <w:tmpl w:val="C9BA8D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D42E9"/>
    <w:multiLevelType w:val="hybridMultilevel"/>
    <w:tmpl w:val="41B895EC"/>
    <w:lvl w:ilvl="0" w:tplc="44B2D3E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06A2A"/>
    <w:multiLevelType w:val="hybridMultilevel"/>
    <w:tmpl w:val="3AC87B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44049"/>
    <w:multiLevelType w:val="hybridMultilevel"/>
    <w:tmpl w:val="E70EBC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306D0"/>
    <w:multiLevelType w:val="hybridMultilevel"/>
    <w:tmpl w:val="94DE6E78"/>
    <w:lvl w:ilvl="0" w:tplc="B44A21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6E4"/>
    <w:rsid w:val="000533A7"/>
    <w:rsid w:val="00095041"/>
    <w:rsid w:val="000A740B"/>
    <w:rsid w:val="000C410D"/>
    <w:rsid w:val="000C5870"/>
    <w:rsid w:val="000C636C"/>
    <w:rsid w:val="000D7ED3"/>
    <w:rsid w:val="000E4AC6"/>
    <w:rsid w:val="0016101C"/>
    <w:rsid w:val="00186654"/>
    <w:rsid w:val="00201BA4"/>
    <w:rsid w:val="0024313B"/>
    <w:rsid w:val="00254C84"/>
    <w:rsid w:val="0028319B"/>
    <w:rsid w:val="00314CAB"/>
    <w:rsid w:val="00320C93"/>
    <w:rsid w:val="00353B77"/>
    <w:rsid w:val="003A2ED4"/>
    <w:rsid w:val="004275C3"/>
    <w:rsid w:val="0045634A"/>
    <w:rsid w:val="004B5594"/>
    <w:rsid w:val="004E74C3"/>
    <w:rsid w:val="005467C6"/>
    <w:rsid w:val="005C2FE3"/>
    <w:rsid w:val="00643E85"/>
    <w:rsid w:val="00647227"/>
    <w:rsid w:val="00693797"/>
    <w:rsid w:val="00697267"/>
    <w:rsid w:val="007406E4"/>
    <w:rsid w:val="00743ED6"/>
    <w:rsid w:val="00753069"/>
    <w:rsid w:val="007A6E3B"/>
    <w:rsid w:val="008430AE"/>
    <w:rsid w:val="008C1562"/>
    <w:rsid w:val="008F220B"/>
    <w:rsid w:val="00903047"/>
    <w:rsid w:val="00933CB8"/>
    <w:rsid w:val="009614CF"/>
    <w:rsid w:val="00970155"/>
    <w:rsid w:val="009900FC"/>
    <w:rsid w:val="009B4364"/>
    <w:rsid w:val="009C72CF"/>
    <w:rsid w:val="00A014E6"/>
    <w:rsid w:val="00A02BBF"/>
    <w:rsid w:val="00A62D33"/>
    <w:rsid w:val="00AA657E"/>
    <w:rsid w:val="00AC0AD2"/>
    <w:rsid w:val="00AF787E"/>
    <w:rsid w:val="00B007D6"/>
    <w:rsid w:val="00B80159"/>
    <w:rsid w:val="00C23F02"/>
    <w:rsid w:val="00C9293D"/>
    <w:rsid w:val="00CA6545"/>
    <w:rsid w:val="00CC07D5"/>
    <w:rsid w:val="00CD3E8C"/>
    <w:rsid w:val="00D315D5"/>
    <w:rsid w:val="00D53C0A"/>
    <w:rsid w:val="00D62D8E"/>
    <w:rsid w:val="00D84F75"/>
    <w:rsid w:val="00DA5BC3"/>
    <w:rsid w:val="00DC7CD8"/>
    <w:rsid w:val="00E53187"/>
    <w:rsid w:val="00EA5B36"/>
    <w:rsid w:val="00EC4BFA"/>
    <w:rsid w:val="00EF5501"/>
    <w:rsid w:val="00F40CBD"/>
    <w:rsid w:val="00F43A76"/>
    <w:rsid w:val="00F62E20"/>
    <w:rsid w:val="00F65A0C"/>
    <w:rsid w:val="00F845BD"/>
    <w:rsid w:val="00FA7352"/>
    <w:rsid w:val="00FB4199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9" type="connector" idref="#_x0000_s1042"/>
        <o:r id="V:Rule10" type="connector" idref="#_x0000_s1043"/>
        <o:r id="V:Rule11" type="connector" idref="#_x0000_s1044"/>
        <o:r id="V:Rule12" type="connector" idref="#_x0000_s1041"/>
        <o:r id="V:Rule13" type="connector" idref="#_x0000_s1040"/>
        <o:r id="V:Rule14" type="connector" idref="#_x0000_s1038"/>
        <o:r id="V:Rule15" type="connector" idref="#_x0000_s1039"/>
        <o:r id="V:Rule16" type="connector" idref="#_x0000_s1037"/>
      </o:rules>
    </o:shapelayout>
  </w:shapeDefaults>
  <w:decimalSymbol w:val=","/>
  <w:listSeparator w:val=";"/>
  <w14:docId w14:val="11BECF67"/>
  <w15:docId w15:val="{0AD56192-4DA2-48E4-BC0D-48370BF1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E9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410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410D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C4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13C3-D4F5-4737-A29B-35B0A186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MENGIN Alix - FL4</cp:lastModifiedBy>
  <cp:revision>8</cp:revision>
  <cp:lastPrinted>2014-02-24T13:48:00Z</cp:lastPrinted>
  <dcterms:created xsi:type="dcterms:W3CDTF">2018-02-15T15:10:00Z</dcterms:created>
  <dcterms:modified xsi:type="dcterms:W3CDTF">2021-12-13T15:49:00Z</dcterms:modified>
</cp:coreProperties>
</file>