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54" w:rsidRPr="00AD73C8" w:rsidRDefault="00E544B7" w:rsidP="00A13120">
      <w:pPr>
        <w:pBdr>
          <w:top w:val="single" w:sz="4" w:space="1" w:color="auto"/>
          <w:left w:val="single" w:sz="4" w:space="4" w:color="auto"/>
          <w:bottom w:val="single" w:sz="4" w:space="1" w:color="auto"/>
          <w:right w:val="single" w:sz="4" w:space="4" w:color="auto"/>
        </w:pBdr>
        <w:jc w:val="center"/>
        <w:rPr>
          <w:rFonts w:ascii="Marianne" w:hAnsi="Marianne"/>
          <w:b/>
        </w:rPr>
      </w:pPr>
      <w:r w:rsidRPr="00AD73C8">
        <w:rPr>
          <w:rFonts w:ascii="Marianne" w:hAnsi="Marianne"/>
          <w:b/>
        </w:rPr>
        <w:t>A</w:t>
      </w:r>
      <w:r w:rsidR="00F76A54" w:rsidRPr="00AD73C8">
        <w:rPr>
          <w:rFonts w:ascii="Marianne" w:hAnsi="Marianne"/>
          <w:b/>
        </w:rPr>
        <w:t>NNEXE</w:t>
      </w:r>
      <w:r w:rsidRPr="00AD73C8">
        <w:rPr>
          <w:rFonts w:ascii="Marianne" w:hAnsi="Marianne"/>
          <w:b/>
        </w:rPr>
        <w:t xml:space="preserve"> </w:t>
      </w:r>
      <w:r w:rsidR="009F41F9" w:rsidRPr="00AD73C8">
        <w:rPr>
          <w:rFonts w:ascii="Marianne" w:hAnsi="Marianne"/>
          <w:b/>
        </w:rPr>
        <w:t>6</w:t>
      </w:r>
    </w:p>
    <w:p w:rsidR="00B203EA" w:rsidRPr="00AD73C8" w:rsidRDefault="003F2A70" w:rsidP="00A13120">
      <w:pPr>
        <w:pBdr>
          <w:top w:val="single" w:sz="4" w:space="1" w:color="auto"/>
          <w:left w:val="single" w:sz="4" w:space="4" w:color="auto"/>
          <w:bottom w:val="single" w:sz="4" w:space="1" w:color="auto"/>
          <w:right w:val="single" w:sz="4" w:space="4" w:color="auto"/>
        </w:pBdr>
        <w:jc w:val="center"/>
        <w:rPr>
          <w:rFonts w:ascii="Marianne" w:hAnsi="Marianne"/>
          <w:b/>
        </w:rPr>
      </w:pPr>
      <w:r w:rsidRPr="00AD73C8">
        <w:rPr>
          <w:rFonts w:ascii="Marianne" w:hAnsi="Marianne"/>
          <w:b/>
        </w:rPr>
        <w:t>Les</w:t>
      </w:r>
      <w:r w:rsidR="00E544B7" w:rsidRPr="00AD73C8">
        <w:rPr>
          <w:rFonts w:ascii="Marianne" w:hAnsi="Marianne"/>
          <w:b/>
        </w:rPr>
        <w:t xml:space="preserve"> notion</w:t>
      </w:r>
      <w:r w:rsidRPr="00AD73C8">
        <w:rPr>
          <w:rFonts w:ascii="Marianne" w:hAnsi="Marianne"/>
          <w:b/>
        </w:rPr>
        <w:t>s</w:t>
      </w:r>
      <w:r w:rsidR="00E544B7" w:rsidRPr="00AD73C8">
        <w:rPr>
          <w:rFonts w:ascii="Marianne" w:hAnsi="Marianne"/>
          <w:b/>
        </w:rPr>
        <w:t xml:space="preserve"> de service d’intérêt économique général (SIEG)</w:t>
      </w:r>
      <w:r w:rsidR="00120497" w:rsidRPr="00AD73C8">
        <w:rPr>
          <w:rFonts w:ascii="Marianne" w:hAnsi="Marianne"/>
          <w:b/>
        </w:rPr>
        <w:t xml:space="preserve"> et de compensation pour mission de service</w:t>
      </w:r>
      <w:r w:rsidRPr="00AD73C8">
        <w:rPr>
          <w:rFonts w:ascii="Marianne" w:hAnsi="Marianne"/>
          <w:b/>
        </w:rPr>
        <w:t xml:space="preserve"> public</w:t>
      </w:r>
    </w:p>
    <w:p w:rsidR="000920E1" w:rsidRPr="00AD73C8" w:rsidRDefault="00274576" w:rsidP="00C36252">
      <w:pPr>
        <w:spacing w:before="120"/>
        <w:jc w:val="both"/>
        <w:rPr>
          <w:rFonts w:ascii="Marianne" w:hAnsi="Marianne"/>
          <w:bCs/>
        </w:rPr>
      </w:pPr>
      <w:r w:rsidRPr="00AD73C8">
        <w:rPr>
          <w:rFonts w:ascii="Marianne" w:hAnsi="Marianne"/>
          <w:bCs/>
        </w:rPr>
        <w:t xml:space="preserve"> </w:t>
      </w:r>
    </w:p>
    <w:p w:rsidR="00EC1629" w:rsidRPr="00AD73C8" w:rsidRDefault="004D795D" w:rsidP="00EC1629">
      <w:pPr>
        <w:jc w:val="both"/>
        <w:rPr>
          <w:rFonts w:ascii="Marianne" w:hAnsi="Marianne"/>
          <w:b/>
          <w:smallCaps/>
        </w:rPr>
      </w:pPr>
      <w:r w:rsidRPr="00AD73C8">
        <w:rPr>
          <w:rFonts w:ascii="Marianne" w:hAnsi="Marianne"/>
          <w:b/>
          <w:smallCaps/>
        </w:rPr>
        <w:t xml:space="preserve">I- </w:t>
      </w:r>
      <w:r w:rsidR="005F5466">
        <w:rPr>
          <w:rFonts w:ascii="Marianne" w:hAnsi="Marianne"/>
          <w:b/>
          <w:smallCaps/>
        </w:rPr>
        <w:t>Rappel sur la notion d’aide d’</w:t>
      </w:r>
      <w:r w:rsidR="005F5466" w:rsidRPr="005F5466">
        <w:rPr>
          <w:rFonts w:ascii="Marianne" w:hAnsi="Marianne"/>
          <w:b/>
          <w:smallCaps/>
        </w:rPr>
        <w:t>É</w:t>
      </w:r>
      <w:r w:rsidR="00EC1629" w:rsidRPr="00AD73C8">
        <w:rPr>
          <w:rFonts w:ascii="Marianne" w:hAnsi="Marianne"/>
          <w:b/>
          <w:smallCaps/>
        </w:rPr>
        <w:t>tat</w:t>
      </w:r>
      <w:r w:rsidR="00A950E5" w:rsidRPr="00AD73C8">
        <w:rPr>
          <w:rFonts w:ascii="Marianne" w:hAnsi="Marianne"/>
          <w:b/>
          <w:smallCaps/>
        </w:rPr>
        <w:t xml:space="preserve"> définie à l’article 107</w:t>
      </w:r>
      <w:r w:rsidR="0033164B" w:rsidRPr="00AD73C8">
        <w:rPr>
          <w:rFonts w:ascii="Marianne" w:hAnsi="Marianne"/>
          <w:b/>
          <w:smallCaps/>
        </w:rPr>
        <w:t xml:space="preserve">, paragraphe </w:t>
      </w:r>
      <w:r w:rsidR="00B97682" w:rsidRPr="00AD73C8">
        <w:rPr>
          <w:rFonts w:ascii="Marianne" w:hAnsi="Marianne"/>
          <w:b/>
          <w:smallCaps/>
        </w:rPr>
        <w:t>1</w:t>
      </w:r>
      <w:r w:rsidR="00B97682" w:rsidRPr="00AD73C8">
        <w:rPr>
          <w:rFonts w:cs="Calibri"/>
          <w:b/>
          <w:smallCaps/>
        </w:rPr>
        <w:t> </w:t>
      </w:r>
      <w:r w:rsidR="00B97682" w:rsidRPr="00AD73C8">
        <w:rPr>
          <w:rFonts w:ascii="Marianne" w:hAnsi="Marianne"/>
          <w:b/>
          <w:smallCaps/>
        </w:rPr>
        <w:t>DU</w:t>
      </w:r>
      <w:r w:rsidR="00A950E5" w:rsidRPr="00AD73C8">
        <w:rPr>
          <w:rFonts w:ascii="Marianne" w:hAnsi="Marianne"/>
          <w:b/>
          <w:smallCaps/>
        </w:rPr>
        <w:t xml:space="preserve"> </w:t>
      </w:r>
      <w:r w:rsidR="005F5466" w:rsidRPr="00AD73C8">
        <w:rPr>
          <w:rFonts w:ascii="Marianne" w:hAnsi="Marianne"/>
          <w:b/>
          <w:smallCaps/>
        </w:rPr>
        <w:t>Trait</w:t>
      </w:r>
      <w:r w:rsidR="005F5466" w:rsidRPr="005F5466">
        <w:rPr>
          <w:rFonts w:ascii="Marianne" w:hAnsi="Marianne"/>
          <w:b/>
          <w:smallCaps/>
        </w:rPr>
        <w:t>é</w:t>
      </w:r>
      <w:r w:rsidR="00A950E5" w:rsidRPr="00AD73C8">
        <w:rPr>
          <w:rFonts w:ascii="Marianne" w:hAnsi="Marianne"/>
          <w:b/>
          <w:smallCaps/>
        </w:rPr>
        <w:t xml:space="preserve"> sur le Fonctionnement de l’Union Européenne (TFUE)</w:t>
      </w:r>
    </w:p>
    <w:p w:rsidR="003B3569" w:rsidRPr="00AD73C8" w:rsidRDefault="0033164B" w:rsidP="00EC1629">
      <w:pPr>
        <w:jc w:val="both"/>
        <w:rPr>
          <w:rFonts w:ascii="Marianne" w:hAnsi="Marianne"/>
        </w:rPr>
      </w:pPr>
      <w:r w:rsidRPr="00AD73C8">
        <w:rPr>
          <w:rFonts w:ascii="Marianne" w:hAnsi="Marianne"/>
        </w:rPr>
        <w:t xml:space="preserve">L’article 107, § 1 du Traité pose un principe général d’interdiction des aides des autorités publiques en faveur des entreprises qui vise à préserver des conditions de concurrence équitable au sein du marché intérieur et garantir la libre-circulation des biens et services. Cette disposition cible, plus précisément, les financements répondant à la qualification </w:t>
      </w:r>
      <w:r w:rsidR="00B97682" w:rsidRPr="00AD73C8">
        <w:rPr>
          <w:rFonts w:ascii="Marianne" w:hAnsi="Marianne"/>
        </w:rPr>
        <w:t>d’«</w:t>
      </w:r>
      <w:r w:rsidRPr="00AD73C8">
        <w:rPr>
          <w:rFonts w:cs="Calibri"/>
        </w:rPr>
        <w:t> </w:t>
      </w:r>
      <w:r w:rsidRPr="00AD73C8">
        <w:rPr>
          <w:rFonts w:ascii="Marianne" w:hAnsi="Marianne"/>
          <w:i/>
        </w:rPr>
        <w:t>aides d’Etat</w:t>
      </w:r>
      <w:r w:rsidRPr="00AD73C8">
        <w:rPr>
          <w:rFonts w:cs="Calibri"/>
        </w:rPr>
        <w:t> </w:t>
      </w:r>
      <w:r w:rsidRPr="00AD73C8">
        <w:rPr>
          <w:rFonts w:ascii="Marianne" w:hAnsi="Marianne" w:cs="Marianne"/>
        </w:rPr>
        <w:t>»</w:t>
      </w:r>
      <w:r w:rsidRPr="00AD73C8">
        <w:rPr>
          <w:rFonts w:ascii="Marianne" w:hAnsi="Marianne"/>
        </w:rPr>
        <w:t xml:space="preserve">, c’est-à-dire ceux impliquant </w:t>
      </w:r>
      <w:r w:rsidR="00B97682" w:rsidRPr="00AD73C8">
        <w:rPr>
          <w:rFonts w:ascii="Marianne" w:hAnsi="Marianne"/>
        </w:rPr>
        <w:t>un transfert</w:t>
      </w:r>
      <w:r w:rsidR="003B3569" w:rsidRPr="00AD73C8">
        <w:rPr>
          <w:rFonts w:ascii="Marianne" w:hAnsi="Marianne"/>
        </w:rPr>
        <w:t xml:space="preserve"> de ressource</w:t>
      </w:r>
      <w:r w:rsidR="003C2C02" w:rsidRPr="00AD73C8">
        <w:rPr>
          <w:rFonts w:ascii="Marianne" w:hAnsi="Marianne"/>
        </w:rPr>
        <w:t xml:space="preserve">s publiques quelle qu’en soit la forme (i), </w:t>
      </w:r>
      <w:r w:rsidRPr="00AD73C8">
        <w:rPr>
          <w:rFonts w:ascii="Marianne" w:hAnsi="Marianne"/>
        </w:rPr>
        <w:t>conférant à leur(s) bénéficiaire(s) un avantage sélectif et</w:t>
      </w:r>
      <w:r w:rsidR="003C2C02" w:rsidRPr="00AD73C8">
        <w:rPr>
          <w:rFonts w:ascii="Marianne" w:hAnsi="Marianne"/>
        </w:rPr>
        <w:t xml:space="preserve"> (ii) affect</w:t>
      </w:r>
      <w:r w:rsidRPr="00AD73C8">
        <w:rPr>
          <w:rFonts w:ascii="Marianne" w:hAnsi="Marianne"/>
        </w:rPr>
        <w:t>ant</w:t>
      </w:r>
      <w:r w:rsidR="003C2C02" w:rsidRPr="00AD73C8">
        <w:rPr>
          <w:rFonts w:ascii="Marianne" w:hAnsi="Marianne"/>
        </w:rPr>
        <w:t xml:space="preserve"> ou mena</w:t>
      </w:r>
      <w:r w:rsidRPr="00AD73C8">
        <w:rPr>
          <w:rFonts w:ascii="Marianne" w:hAnsi="Marianne"/>
        </w:rPr>
        <w:t>çant</w:t>
      </w:r>
      <w:r w:rsidR="003C2C02" w:rsidRPr="00AD73C8">
        <w:rPr>
          <w:rFonts w:ascii="Marianne" w:hAnsi="Marianne"/>
        </w:rPr>
        <w:t xml:space="preserve"> d’affecter la concurrence (iii) et les échanges intra-communautaires (i</w:t>
      </w:r>
      <w:r w:rsidR="00F76A54" w:rsidRPr="00AD73C8">
        <w:rPr>
          <w:rFonts w:ascii="Marianne" w:hAnsi="Marianne"/>
        </w:rPr>
        <w:t>v</w:t>
      </w:r>
      <w:r w:rsidR="003C2C02" w:rsidRPr="00AD73C8">
        <w:rPr>
          <w:rFonts w:ascii="Marianne" w:hAnsi="Marianne"/>
        </w:rPr>
        <w:t>).</w:t>
      </w:r>
    </w:p>
    <w:p w:rsidR="00C8330F" w:rsidRPr="00AD73C8" w:rsidRDefault="003B3569" w:rsidP="00C50820">
      <w:pPr>
        <w:jc w:val="both"/>
        <w:rPr>
          <w:rFonts w:ascii="Marianne" w:hAnsi="Marianne"/>
        </w:rPr>
      </w:pPr>
      <w:r w:rsidRPr="00AD73C8">
        <w:rPr>
          <w:rFonts w:ascii="Marianne" w:hAnsi="Marianne"/>
        </w:rPr>
        <w:t xml:space="preserve">Le Traité admet cependant </w:t>
      </w:r>
      <w:r w:rsidRPr="00AD73C8">
        <w:rPr>
          <w:rFonts w:ascii="Marianne" w:hAnsi="Marianne"/>
          <w:i/>
        </w:rPr>
        <w:t>certaines dérogations à ce principe général d’in</w:t>
      </w:r>
      <w:r w:rsidR="004312B2" w:rsidRPr="00AD73C8">
        <w:rPr>
          <w:rFonts w:ascii="Marianne" w:hAnsi="Marianne"/>
          <w:i/>
        </w:rPr>
        <w:t>compatibilité</w:t>
      </w:r>
      <w:r w:rsidRPr="00AD73C8">
        <w:rPr>
          <w:rFonts w:ascii="Marianne" w:hAnsi="Marianne"/>
        </w:rPr>
        <w:t xml:space="preserve"> et reconnaît la co</w:t>
      </w:r>
      <w:r w:rsidR="001C3535" w:rsidRPr="00AD73C8">
        <w:rPr>
          <w:rFonts w:ascii="Marianne" w:hAnsi="Marianne"/>
        </w:rPr>
        <w:t>mpatibilité de certaines aides ou leur compatibilité</w:t>
      </w:r>
      <w:r w:rsidR="0033164B" w:rsidRPr="00AD73C8">
        <w:rPr>
          <w:rFonts w:ascii="Marianne" w:hAnsi="Marianne"/>
        </w:rPr>
        <w:t xml:space="preserve"> potentielle</w:t>
      </w:r>
      <w:r w:rsidR="001C3535" w:rsidRPr="00AD73C8">
        <w:rPr>
          <w:rFonts w:ascii="Marianne" w:hAnsi="Marianne"/>
        </w:rPr>
        <w:t xml:space="preserve"> sous conditions</w:t>
      </w:r>
      <w:r w:rsidR="00C46F02" w:rsidRPr="00AD73C8">
        <w:rPr>
          <w:rFonts w:ascii="Marianne" w:hAnsi="Marianne"/>
        </w:rPr>
        <w:t>.</w:t>
      </w:r>
      <w:r w:rsidR="0033164B" w:rsidRPr="00AD73C8">
        <w:rPr>
          <w:rFonts w:ascii="Marianne" w:hAnsi="Marianne"/>
        </w:rPr>
        <w:t xml:space="preserve"> Les SIEG bénéficient, à cet égard, d’un régime dérogatoire fondé sur </w:t>
      </w:r>
      <w:r w:rsidR="002F44D6" w:rsidRPr="00AD73C8">
        <w:rPr>
          <w:rFonts w:ascii="Marianne" w:hAnsi="Marianne"/>
        </w:rPr>
        <w:t>l</w:t>
      </w:r>
      <w:r w:rsidR="004312B2" w:rsidRPr="00AD73C8">
        <w:rPr>
          <w:rFonts w:ascii="Marianne" w:hAnsi="Marianne"/>
        </w:rPr>
        <w:t>’article 106</w:t>
      </w:r>
      <w:r w:rsidR="0033164B" w:rsidRPr="00AD73C8">
        <w:rPr>
          <w:rFonts w:ascii="Marianne" w:hAnsi="Marianne"/>
        </w:rPr>
        <w:t xml:space="preserve">, </w:t>
      </w:r>
      <w:r w:rsidR="004312B2" w:rsidRPr="00AD73C8">
        <w:rPr>
          <w:rFonts w:ascii="Marianne" w:hAnsi="Marianne"/>
        </w:rPr>
        <w:t>§</w:t>
      </w:r>
      <w:r w:rsidR="0033164B" w:rsidRPr="00AD73C8">
        <w:rPr>
          <w:rFonts w:ascii="Marianne" w:hAnsi="Marianne"/>
        </w:rPr>
        <w:t xml:space="preserve"> </w:t>
      </w:r>
      <w:r w:rsidR="004312B2" w:rsidRPr="00AD73C8">
        <w:rPr>
          <w:rFonts w:ascii="Marianne" w:hAnsi="Marianne"/>
        </w:rPr>
        <w:t>2</w:t>
      </w:r>
      <w:r w:rsidR="0033164B" w:rsidRPr="00AD73C8">
        <w:rPr>
          <w:rFonts w:ascii="Marianne" w:hAnsi="Marianne"/>
        </w:rPr>
        <w:t>, TFUE qui</w:t>
      </w:r>
      <w:r w:rsidR="004312B2" w:rsidRPr="00AD73C8">
        <w:rPr>
          <w:rFonts w:ascii="Marianne" w:hAnsi="Marianne"/>
        </w:rPr>
        <w:t xml:space="preserve"> permet </w:t>
      </w:r>
      <w:r w:rsidR="00A24BC4" w:rsidRPr="00AD73C8">
        <w:rPr>
          <w:rFonts w:ascii="Marianne" w:hAnsi="Marianne"/>
        </w:rPr>
        <w:t xml:space="preserve">aux entreprises chargées de la gestion d’un service d’intérêt économique général </w:t>
      </w:r>
      <w:r w:rsidR="003312FF" w:rsidRPr="00AD73C8">
        <w:rPr>
          <w:rFonts w:ascii="Marianne" w:hAnsi="Marianne"/>
        </w:rPr>
        <w:t xml:space="preserve">(SIEG) </w:t>
      </w:r>
      <w:r w:rsidR="00FD0F1A" w:rsidRPr="00AD73C8">
        <w:rPr>
          <w:rFonts w:ascii="Marianne" w:hAnsi="Marianne"/>
        </w:rPr>
        <w:t>d’échapper</w:t>
      </w:r>
      <w:r w:rsidR="00C8330F" w:rsidRPr="00AD73C8">
        <w:rPr>
          <w:rFonts w:ascii="Marianne" w:hAnsi="Marianne"/>
        </w:rPr>
        <w:t xml:space="preserve"> aux règles </w:t>
      </w:r>
      <w:r w:rsidR="002F44D6" w:rsidRPr="00AD73C8">
        <w:rPr>
          <w:rFonts w:ascii="Marianne" w:hAnsi="Marianne"/>
        </w:rPr>
        <w:t>communes des aides d’Etat</w:t>
      </w:r>
      <w:r w:rsidR="00C8330F" w:rsidRPr="00AD73C8">
        <w:rPr>
          <w:rFonts w:ascii="Marianne" w:hAnsi="Marianne"/>
        </w:rPr>
        <w:t xml:space="preserve"> </w:t>
      </w:r>
      <w:r w:rsidR="00A24BC4" w:rsidRPr="00AD73C8">
        <w:rPr>
          <w:rFonts w:ascii="Marianne" w:hAnsi="Marianne"/>
          <w:b/>
        </w:rPr>
        <w:t>dès lors que</w:t>
      </w:r>
      <w:r w:rsidR="00C8330F" w:rsidRPr="00AD73C8">
        <w:rPr>
          <w:rFonts w:ascii="Marianne" w:hAnsi="Marianne"/>
          <w:b/>
        </w:rPr>
        <w:t xml:space="preserve"> cette dérogation est </w:t>
      </w:r>
      <w:r w:rsidR="00A24BC4" w:rsidRPr="00AD73C8">
        <w:rPr>
          <w:rFonts w:ascii="Marianne" w:hAnsi="Marianne"/>
          <w:b/>
        </w:rPr>
        <w:t>nécessaire à l’</w:t>
      </w:r>
      <w:r w:rsidR="00C8330F" w:rsidRPr="00AD73C8">
        <w:rPr>
          <w:rFonts w:ascii="Marianne" w:hAnsi="Marianne"/>
          <w:b/>
        </w:rPr>
        <w:t>accomplissement d</w:t>
      </w:r>
      <w:r w:rsidR="00A24BC4" w:rsidRPr="00AD73C8">
        <w:rPr>
          <w:rFonts w:ascii="Marianne" w:hAnsi="Marianne"/>
          <w:b/>
        </w:rPr>
        <w:t>e la</w:t>
      </w:r>
      <w:r w:rsidR="00C8330F" w:rsidRPr="00AD73C8">
        <w:rPr>
          <w:rFonts w:ascii="Marianne" w:hAnsi="Marianne"/>
          <w:b/>
        </w:rPr>
        <w:t xml:space="preserve"> mission d’intérêt général</w:t>
      </w:r>
      <w:r w:rsidR="00A24BC4" w:rsidRPr="00AD73C8">
        <w:rPr>
          <w:rFonts w:ascii="Marianne" w:hAnsi="Marianne"/>
          <w:b/>
        </w:rPr>
        <w:t xml:space="preserve"> qui leur a été confiée</w:t>
      </w:r>
      <w:r w:rsidR="00C8330F" w:rsidRPr="00AD73C8">
        <w:rPr>
          <w:rFonts w:ascii="Marianne" w:hAnsi="Marianne"/>
        </w:rPr>
        <w:t>.</w:t>
      </w:r>
      <w:r w:rsidR="003103B4" w:rsidRPr="00AD73C8">
        <w:rPr>
          <w:rFonts w:ascii="Marianne" w:hAnsi="Marianne"/>
        </w:rPr>
        <w:t xml:space="preserve"> </w:t>
      </w:r>
    </w:p>
    <w:p w:rsidR="00BA0DCF" w:rsidRPr="00AD73C8" w:rsidRDefault="00BA0DCF" w:rsidP="00F74BF8">
      <w:pPr>
        <w:spacing w:after="0"/>
        <w:jc w:val="both"/>
        <w:rPr>
          <w:rFonts w:ascii="Marianne" w:hAnsi="Marianne"/>
        </w:rPr>
      </w:pPr>
    </w:p>
    <w:p w:rsidR="00171055" w:rsidRPr="00AD73C8" w:rsidRDefault="004D795D" w:rsidP="00171055">
      <w:pPr>
        <w:jc w:val="both"/>
        <w:rPr>
          <w:rFonts w:ascii="Marianne" w:hAnsi="Marianne"/>
          <w:b/>
          <w:smallCaps/>
        </w:rPr>
      </w:pPr>
      <w:r w:rsidRPr="00AD73C8">
        <w:rPr>
          <w:rFonts w:ascii="Marianne" w:hAnsi="Marianne"/>
          <w:b/>
          <w:smallCaps/>
        </w:rPr>
        <w:t xml:space="preserve">II- </w:t>
      </w:r>
      <w:r w:rsidR="00171055" w:rsidRPr="00AD73C8">
        <w:rPr>
          <w:rFonts w:ascii="Marianne" w:hAnsi="Marianne"/>
          <w:b/>
          <w:smallCaps/>
        </w:rPr>
        <w:t>La qualification de SIEG</w:t>
      </w:r>
    </w:p>
    <w:p w:rsidR="00F96FAA" w:rsidRPr="00AD73C8" w:rsidRDefault="00FD0F1A" w:rsidP="00F74BF8">
      <w:pPr>
        <w:spacing w:after="0"/>
        <w:jc w:val="both"/>
        <w:rPr>
          <w:rFonts w:ascii="Marianne" w:hAnsi="Marianne"/>
        </w:rPr>
      </w:pPr>
      <w:r w:rsidRPr="00AD73C8">
        <w:rPr>
          <w:rFonts w:ascii="Marianne" w:hAnsi="Marianne"/>
        </w:rPr>
        <w:t>En l’absence d’harmonisation et c</w:t>
      </w:r>
      <w:r w:rsidR="00992A64" w:rsidRPr="00AD73C8">
        <w:rPr>
          <w:rFonts w:ascii="Marianne" w:hAnsi="Marianne"/>
        </w:rPr>
        <w:t xml:space="preserve">onsidérant que </w:t>
      </w:r>
      <w:r w:rsidR="000A4AA0" w:rsidRPr="00AD73C8">
        <w:rPr>
          <w:rFonts w:ascii="Marianne" w:hAnsi="Marianne"/>
        </w:rPr>
        <w:t>«</w:t>
      </w:r>
      <w:r w:rsidR="000A4AA0" w:rsidRPr="00AD73C8">
        <w:rPr>
          <w:rFonts w:cs="Calibri"/>
        </w:rPr>
        <w:t> </w:t>
      </w:r>
      <w:r w:rsidR="00992A64" w:rsidRPr="00AD73C8">
        <w:rPr>
          <w:rFonts w:ascii="Marianne" w:hAnsi="Marianne"/>
          <w:i/>
        </w:rPr>
        <w:t xml:space="preserve">la notion de service d’intérêt </w:t>
      </w:r>
      <w:r w:rsidR="006959C6" w:rsidRPr="00AD73C8">
        <w:rPr>
          <w:rFonts w:ascii="Marianne" w:hAnsi="Marianne"/>
          <w:i/>
        </w:rPr>
        <w:t xml:space="preserve">économique </w:t>
      </w:r>
      <w:r w:rsidR="00992A64" w:rsidRPr="00AD73C8">
        <w:rPr>
          <w:rFonts w:ascii="Marianne" w:hAnsi="Marianne"/>
          <w:i/>
        </w:rPr>
        <w:t>général est évolutive et dépend, entre autres choses, des besoins des citoyens, des évolutions techniques et commerciales et des préférences sociales et politiques propres à chaque Etat membre</w:t>
      </w:r>
      <w:r w:rsidR="006959C6" w:rsidRPr="00AD73C8">
        <w:rPr>
          <w:rStyle w:val="Appelnotedebasdep"/>
          <w:rFonts w:ascii="Marianne" w:hAnsi="Marianne"/>
          <w:i/>
        </w:rPr>
        <w:footnoteReference w:id="1"/>
      </w:r>
      <w:r w:rsidR="000A4AA0" w:rsidRPr="00AD73C8">
        <w:rPr>
          <w:rFonts w:cs="Calibri"/>
        </w:rPr>
        <w:t> </w:t>
      </w:r>
      <w:r w:rsidR="000A4AA0" w:rsidRPr="00AD73C8">
        <w:rPr>
          <w:rFonts w:ascii="Marianne" w:hAnsi="Marianne" w:cs="Marianne"/>
        </w:rPr>
        <w:t>»</w:t>
      </w:r>
      <w:r w:rsidR="00992A64" w:rsidRPr="00AD73C8">
        <w:rPr>
          <w:rFonts w:ascii="Marianne" w:hAnsi="Marianne"/>
        </w:rPr>
        <w:t xml:space="preserve">, </w:t>
      </w:r>
      <w:r w:rsidR="00542C65" w:rsidRPr="00AD73C8">
        <w:rPr>
          <w:rFonts w:ascii="Marianne" w:hAnsi="Marianne"/>
        </w:rPr>
        <w:t xml:space="preserve">les instances </w:t>
      </w:r>
      <w:r w:rsidRPr="00AD73C8">
        <w:rPr>
          <w:rFonts w:ascii="Marianne" w:hAnsi="Marianne"/>
        </w:rPr>
        <w:t>européennes  ont préféré ne pas</w:t>
      </w:r>
      <w:r w:rsidR="00542C65" w:rsidRPr="00AD73C8">
        <w:rPr>
          <w:rFonts w:ascii="Marianne" w:hAnsi="Marianne"/>
        </w:rPr>
        <w:t xml:space="preserve"> défini</w:t>
      </w:r>
      <w:r w:rsidRPr="00AD73C8">
        <w:rPr>
          <w:rFonts w:ascii="Marianne" w:hAnsi="Marianne"/>
        </w:rPr>
        <w:t>r</w:t>
      </w:r>
      <w:r w:rsidR="00542C65" w:rsidRPr="00AD73C8">
        <w:rPr>
          <w:rFonts w:ascii="Marianne" w:hAnsi="Marianne"/>
        </w:rPr>
        <w:t xml:space="preserve"> précisément</w:t>
      </w:r>
      <w:r w:rsidR="00FD5547" w:rsidRPr="00AD73C8">
        <w:rPr>
          <w:rFonts w:ascii="Marianne" w:hAnsi="Marianne"/>
        </w:rPr>
        <w:t xml:space="preserve"> le SIEG</w:t>
      </w:r>
      <w:r w:rsidR="00992A64" w:rsidRPr="00AD73C8">
        <w:rPr>
          <w:rFonts w:ascii="Marianne" w:hAnsi="Marianne"/>
        </w:rPr>
        <w:t xml:space="preserve">, </w:t>
      </w:r>
      <w:r w:rsidR="00542C65" w:rsidRPr="00AD73C8">
        <w:rPr>
          <w:rFonts w:ascii="Marianne" w:hAnsi="Marianne"/>
        </w:rPr>
        <w:t xml:space="preserve">cette définition </w:t>
      </w:r>
      <w:r w:rsidR="00992A64" w:rsidRPr="00AD73C8">
        <w:rPr>
          <w:rFonts w:ascii="Marianne" w:hAnsi="Marianne"/>
        </w:rPr>
        <w:t xml:space="preserve">restant </w:t>
      </w:r>
      <w:r w:rsidRPr="00AD73C8">
        <w:rPr>
          <w:rFonts w:ascii="Marianne" w:hAnsi="Marianne"/>
        </w:rPr>
        <w:t xml:space="preserve">en pratique </w:t>
      </w:r>
      <w:r w:rsidR="00992A64" w:rsidRPr="00AD73C8">
        <w:rPr>
          <w:rFonts w:ascii="Marianne" w:hAnsi="Marianne"/>
        </w:rPr>
        <w:t>de la compétence des Etats membres, en vertu du principe de subsidiarité.</w:t>
      </w:r>
      <w:r w:rsidR="000A4AA0" w:rsidRPr="00AD73C8">
        <w:rPr>
          <w:rFonts w:ascii="Marianne" w:hAnsi="Marianne"/>
        </w:rPr>
        <w:t xml:space="preserve"> </w:t>
      </w:r>
    </w:p>
    <w:p w:rsidR="00F96FAA" w:rsidRPr="00AD73C8" w:rsidRDefault="00F96FAA" w:rsidP="00F74BF8">
      <w:pPr>
        <w:spacing w:after="0"/>
        <w:jc w:val="both"/>
        <w:rPr>
          <w:rFonts w:ascii="Marianne" w:hAnsi="Marianne"/>
        </w:rPr>
      </w:pPr>
    </w:p>
    <w:p w:rsidR="00F74BF8" w:rsidRPr="00AD73C8" w:rsidRDefault="000A4AA0" w:rsidP="00F96FAA">
      <w:pPr>
        <w:spacing w:after="0"/>
        <w:jc w:val="both"/>
        <w:rPr>
          <w:rFonts w:ascii="Marianne" w:hAnsi="Marianne"/>
        </w:rPr>
      </w:pPr>
      <w:r w:rsidRPr="00AD73C8">
        <w:rPr>
          <w:rFonts w:ascii="Marianne" w:hAnsi="Marianne"/>
        </w:rPr>
        <w:t xml:space="preserve">Le contrôle du juge </w:t>
      </w:r>
      <w:r w:rsidR="00FD0F1A" w:rsidRPr="00AD73C8">
        <w:rPr>
          <w:rFonts w:ascii="Marianne" w:hAnsi="Marianne"/>
        </w:rPr>
        <w:t xml:space="preserve">européen et de la Commission </w:t>
      </w:r>
      <w:r w:rsidRPr="00AD73C8">
        <w:rPr>
          <w:rFonts w:ascii="Marianne" w:hAnsi="Marianne"/>
        </w:rPr>
        <w:t>se limite donc à vérifier l’absence d’erreur manifeste d’appréciation</w:t>
      </w:r>
      <w:r w:rsidR="00F96FAA" w:rsidRPr="00AD73C8">
        <w:rPr>
          <w:rFonts w:ascii="Marianne" w:hAnsi="Marianne"/>
        </w:rPr>
        <w:t xml:space="preserve"> au cas par cas. Toutefois, bien qu’</w:t>
      </w:r>
      <w:r w:rsidR="00992A64" w:rsidRPr="00AD73C8">
        <w:rPr>
          <w:rFonts w:ascii="Marianne" w:hAnsi="Marianne"/>
        </w:rPr>
        <w:t xml:space="preserve">il n’existe pas de liste exhaustive ou </w:t>
      </w:r>
      <w:r w:rsidR="00547128" w:rsidRPr="00AD73C8">
        <w:rPr>
          <w:rFonts w:ascii="Marianne" w:hAnsi="Marianne"/>
        </w:rPr>
        <w:t>préétablie</w:t>
      </w:r>
      <w:r w:rsidR="00992A64" w:rsidRPr="00AD73C8">
        <w:rPr>
          <w:rFonts w:ascii="Marianne" w:hAnsi="Marianne"/>
        </w:rPr>
        <w:t xml:space="preserve"> de</w:t>
      </w:r>
      <w:r w:rsidR="00F96FAA" w:rsidRPr="00AD73C8">
        <w:rPr>
          <w:rFonts w:ascii="Marianne" w:hAnsi="Marianne"/>
        </w:rPr>
        <w:t>s services relevant de la qualifiant de</w:t>
      </w:r>
      <w:r w:rsidR="00992A64" w:rsidRPr="00AD73C8">
        <w:rPr>
          <w:rFonts w:ascii="Marianne" w:hAnsi="Marianne"/>
        </w:rPr>
        <w:t xml:space="preserve"> SIEG, la jurisprudence de la CJUE a précisé </w:t>
      </w:r>
      <w:r w:rsidR="000E5524" w:rsidRPr="00AD73C8">
        <w:rPr>
          <w:rFonts w:ascii="Marianne" w:hAnsi="Marianne"/>
        </w:rPr>
        <w:t xml:space="preserve">que trois </w:t>
      </w:r>
      <w:r w:rsidR="00992A64" w:rsidRPr="00AD73C8">
        <w:rPr>
          <w:rFonts w:ascii="Marianne" w:hAnsi="Marianne"/>
        </w:rPr>
        <w:t>conditions d</w:t>
      </w:r>
      <w:r w:rsidR="000E5524" w:rsidRPr="00AD73C8">
        <w:rPr>
          <w:rFonts w:ascii="Marianne" w:hAnsi="Marianne"/>
        </w:rPr>
        <w:t>oi</w:t>
      </w:r>
      <w:r w:rsidR="00992A64" w:rsidRPr="00AD73C8">
        <w:rPr>
          <w:rFonts w:ascii="Marianne" w:hAnsi="Marianne"/>
        </w:rPr>
        <w:t>v</w:t>
      </w:r>
      <w:r w:rsidR="000E5524" w:rsidRPr="00AD73C8">
        <w:rPr>
          <w:rFonts w:ascii="Marianne" w:hAnsi="Marianne"/>
        </w:rPr>
        <w:t>e</w:t>
      </w:r>
      <w:r w:rsidR="00992A64" w:rsidRPr="00AD73C8">
        <w:rPr>
          <w:rFonts w:ascii="Marianne" w:hAnsi="Marianne"/>
        </w:rPr>
        <w:t>nt être remplies pour qu’une activité puisse être qualifiée de SIEG</w:t>
      </w:r>
      <w:r w:rsidR="008537F1" w:rsidRPr="00AD73C8">
        <w:rPr>
          <w:rFonts w:ascii="Marianne" w:hAnsi="Marianne"/>
        </w:rPr>
        <w:t>.</w:t>
      </w:r>
      <w:r w:rsidR="00992A64" w:rsidRPr="00AD73C8">
        <w:rPr>
          <w:rFonts w:ascii="Marianne" w:hAnsi="Marianne"/>
        </w:rPr>
        <w:t xml:space="preserve"> </w:t>
      </w:r>
    </w:p>
    <w:p w:rsidR="00F96FAA" w:rsidRPr="00AD73C8" w:rsidRDefault="00F96FAA" w:rsidP="00F96FAA">
      <w:pPr>
        <w:ind w:left="284"/>
        <w:jc w:val="both"/>
        <w:rPr>
          <w:rFonts w:ascii="Marianne" w:hAnsi="Marianne"/>
        </w:rPr>
      </w:pPr>
    </w:p>
    <w:p w:rsidR="004A057D" w:rsidRPr="00AD73C8" w:rsidRDefault="00835842" w:rsidP="001A718E">
      <w:pPr>
        <w:numPr>
          <w:ilvl w:val="0"/>
          <w:numId w:val="8"/>
        </w:numPr>
        <w:ind w:left="284" w:hanging="284"/>
        <w:jc w:val="both"/>
        <w:rPr>
          <w:rFonts w:ascii="Marianne" w:hAnsi="Marianne"/>
        </w:rPr>
      </w:pPr>
      <w:r w:rsidRPr="00AD73C8">
        <w:rPr>
          <w:rFonts w:ascii="Marianne" w:hAnsi="Marianne"/>
          <w:b/>
        </w:rPr>
        <w:t>L’a</w:t>
      </w:r>
      <w:r w:rsidR="000E5524" w:rsidRPr="00AD73C8">
        <w:rPr>
          <w:rFonts w:ascii="Marianne" w:hAnsi="Marianne"/>
          <w:b/>
        </w:rPr>
        <w:t>ctivité</w:t>
      </w:r>
      <w:r w:rsidR="008672D4" w:rsidRPr="00AD73C8">
        <w:rPr>
          <w:rFonts w:ascii="Marianne" w:hAnsi="Marianne"/>
          <w:b/>
        </w:rPr>
        <w:t xml:space="preserve"> de l’entreprise</w:t>
      </w:r>
      <w:r w:rsidR="000E5524" w:rsidRPr="00AD73C8">
        <w:rPr>
          <w:rFonts w:ascii="Marianne" w:hAnsi="Marianne"/>
          <w:b/>
        </w:rPr>
        <w:t xml:space="preserve"> </w:t>
      </w:r>
      <w:r w:rsidRPr="00AD73C8">
        <w:rPr>
          <w:rFonts w:ascii="Marianne" w:hAnsi="Marianne"/>
          <w:b/>
        </w:rPr>
        <w:t>doit revêtir un caractère économique</w:t>
      </w:r>
    </w:p>
    <w:p w:rsidR="004A057D" w:rsidRPr="00AD73C8" w:rsidRDefault="004A057D" w:rsidP="009A1DE4">
      <w:pPr>
        <w:jc w:val="both"/>
        <w:rPr>
          <w:rFonts w:ascii="Marianne" w:hAnsi="Marianne"/>
        </w:rPr>
      </w:pPr>
      <w:r w:rsidRPr="00AD73C8">
        <w:rPr>
          <w:rFonts w:ascii="Marianne" w:hAnsi="Marianne"/>
        </w:rPr>
        <w:t xml:space="preserve">La jurisprudence européenne qualifie d’économique l’activité qui </w:t>
      </w:r>
      <w:r w:rsidR="00835842" w:rsidRPr="00AD73C8">
        <w:rPr>
          <w:rFonts w:ascii="Marianne" w:hAnsi="Marianne"/>
        </w:rPr>
        <w:t xml:space="preserve">consiste à </w:t>
      </w:r>
      <w:r w:rsidR="00835842" w:rsidRPr="00AD73C8">
        <w:rPr>
          <w:rFonts w:ascii="Marianne" w:hAnsi="Marianne"/>
          <w:b/>
        </w:rPr>
        <w:t>offrir des biens ou des services sur un marché</w:t>
      </w:r>
      <w:r w:rsidR="0000501C" w:rsidRPr="00AD73C8">
        <w:rPr>
          <w:rFonts w:ascii="Marianne" w:hAnsi="Marianne"/>
          <w:b/>
        </w:rPr>
        <w:t xml:space="preserve"> donné</w:t>
      </w:r>
      <w:r w:rsidRPr="00AD73C8">
        <w:rPr>
          <w:rFonts w:ascii="Marianne" w:hAnsi="Marianne"/>
        </w:rPr>
        <w:t>, cette notion étant elle-même définie comme la confrontation d’une offre et d’une demande</w:t>
      </w:r>
      <w:r w:rsidRPr="00AD73C8">
        <w:rPr>
          <w:rStyle w:val="Appelnotedebasdep"/>
          <w:rFonts w:ascii="Marianne" w:hAnsi="Marianne"/>
        </w:rPr>
        <w:footnoteReference w:id="2"/>
      </w:r>
      <w:r w:rsidRPr="00AD73C8">
        <w:rPr>
          <w:rFonts w:ascii="Marianne" w:hAnsi="Marianne"/>
        </w:rPr>
        <w:t>.</w:t>
      </w:r>
      <w:r w:rsidR="00F96FAA" w:rsidRPr="00AD73C8">
        <w:rPr>
          <w:rFonts w:ascii="Marianne" w:hAnsi="Marianne"/>
        </w:rPr>
        <w:t xml:space="preserve"> </w:t>
      </w:r>
      <w:r w:rsidR="0000501C" w:rsidRPr="00AD73C8">
        <w:rPr>
          <w:rFonts w:ascii="Marianne" w:hAnsi="Marianne"/>
        </w:rPr>
        <w:t>En outre, selon la CJUE, l’un des critères déterminants pour qualifier une activité d’économique</w:t>
      </w:r>
      <w:r w:rsidR="00751B7F" w:rsidRPr="00AD73C8">
        <w:rPr>
          <w:rFonts w:ascii="Marianne" w:hAnsi="Marianne"/>
        </w:rPr>
        <w:t xml:space="preserve"> </w:t>
      </w:r>
      <w:r w:rsidR="0000501C" w:rsidRPr="00AD73C8">
        <w:rPr>
          <w:rFonts w:ascii="Marianne" w:hAnsi="Marianne"/>
        </w:rPr>
        <w:t>est l’</w:t>
      </w:r>
      <w:r w:rsidR="0000501C" w:rsidRPr="00AD73C8">
        <w:rPr>
          <w:rFonts w:ascii="Marianne" w:hAnsi="Marianne"/>
          <w:b/>
        </w:rPr>
        <w:t>existence d’une rémunération</w:t>
      </w:r>
      <w:r w:rsidR="00751B7F" w:rsidRPr="00AD73C8">
        <w:rPr>
          <w:rFonts w:ascii="Marianne" w:hAnsi="Marianne"/>
        </w:rPr>
        <w:t>, correspondant à la contrepartie</w:t>
      </w:r>
      <w:r w:rsidR="000418E1" w:rsidRPr="00AD73C8">
        <w:rPr>
          <w:rFonts w:ascii="Marianne" w:hAnsi="Marianne"/>
        </w:rPr>
        <w:t xml:space="preserve"> économique</w:t>
      </w:r>
      <w:r w:rsidR="00751B7F" w:rsidRPr="00AD73C8">
        <w:rPr>
          <w:rFonts w:ascii="Marianne" w:hAnsi="Marianne"/>
        </w:rPr>
        <w:t xml:space="preserve"> du service fourni</w:t>
      </w:r>
      <w:r w:rsidR="000418E1" w:rsidRPr="00AD73C8">
        <w:rPr>
          <w:rFonts w:ascii="Marianne" w:hAnsi="Marianne"/>
        </w:rPr>
        <w:t xml:space="preserve"> et qui révèle l’existence d’un marché</w:t>
      </w:r>
      <w:r w:rsidR="009027A0" w:rsidRPr="00AD73C8">
        <w:rPr>
          <w:rFonts w:ascii="Marianne" w:hAnsi="Marianne"/>
        </w:rPr>
        <w:t>.</w:t>
      </w:r>
    </w:p>
    <w:p w:rsidR="000E5524" w:rsidRPr="00AD73C8" w:rsidRDefault="008672D4" w:rsidP="009A1DE4">
      <w:pPr>
        <w:spacing w:before="240"/>
        <w:jc w:val="both"/>
        <w:rPr>
          <w:rFonts w:ascii="Marianne" w:hAnsi="Marianne"/>
        </w:rPr>
      </w:pPr>
      <w:r w:rsidRPr="00AD73C8">
        <w:rPr>
          <w:rFonts w:ascii="Marianne" w:hAnsi="Marianne"/>
        </w:rPr>
        <w:t xml:space="preserve">Dans cette logique, la définition </w:t>
      </w:r>
      <w:r w:rsidR="000418E1" w:rsidRPr="00AD73C8">
        <w:rPr>
          <w:rFonts w:ascii="Marianne" w:hAnsi="Marianne"/>
        </w:rPr>
        <w:t xml:space="preserve">européenne </w:t>
      </w:r>
      <w:r w:rsidRPr="00AD73C8">
        <w:rPr>
          <w:rFonts w:ascii="Marianne" w:hAnsi="Marianne"/>
        </w:rPr>
        <w:t>de l’</w:t>
      </w:r>
      <w:r w:rsidR="00F96FAA" w:rsidRPr="00AD73C8">
        <w:rPr>
          <w:rFonts w:cs="Calibri"/>
        </w:rPr>
        <w:t> </w:t>
      </w:r>
      <w:r w:rsidR="00F96FAA" w:rsidRPr="00AD73C8">
        <w:rPr>
          <w:rFonts w:ascii="Marianne" w:hAnsi="Marianne"/>
        </w:rPr>
        <w:t>«</w:t>
      </w:r>
      <w:r w:rsidR="00F96FAA" w:rsidRPr="00AD73C8">
        <w:rPr>
          <w:rFonts w:cs="Calibri"/>
        </w:rPr>
        <w:t> </w:t>
      </w:r>
      <w:r w:rsidRPr="00AD73C8">
        <w:rPr>
          <w:rFonts w:ascii="Marianne" w:hAnsi="Marianne"/>
        </w:rPr>
        <w:t>entreprise</w:t>
      </w:r>
      <w:r w:rsidR="00F96FAA" w:rsidRPr="00AD73C8">
        <w:rPr>
          <w:rFonts w:cs="Calibri"/>
        </w:rPr>
        <w:t> </w:t>
      </w:r>
      <w:r w:rsidR="00F96FAA" w:rsidRPr="00AD73C8">
        <w:rPr>
          <w:rFonts w:ascii="Marianne" w:hAnsi="Marianne" w:cs="Marianne"/>
        </w:rPr>
        <w:t>»</w:t>
      </w:r>
      <w:r w:rsidRPr="00AD73C8">
        <w:rPr>
          <w:rFonts w:ascii="Marianne" w:hAnsi="Marianne"/>
        </w:rPr>
        <w:t xml:space="preserve"> est </w:t>
      </w:r>
      <w:r w:rsidR="000418E1" w:rsidRPr="00AD73C8">
        <w:rPr>
          <w:rFonts w:ascii="Marianne" w:hAnsi="Marianne"/>
        </w:rPr>
        <w:t>très</w:t>
      </w:r>
      <w:r w:rsidRPr="00AD73C8">
        <w:rPr>
          <w:rFonts w:ascii="Marianne" w:hAnsi="Marianne"/>
        </w:rPr>
        <w:t xml:space="preserve"> large puisque constitue </w:t>
      </w:r>
      <w:r w:rsidR="003752A2" w:rsidRPr="00AD73C8">
        <w:rPr>
          <w:rFonts w:ascii="Marianne" w:hAnsi="Marianne"/>
        </w:rPr>
        <w:t xml:space="preserve">une </w:t>
      </w:r>
      <w:r w:rsidR="00F96FAA" w:rsidRPr="00AD73C8">
        <w:rPr>
          <w:rFonts w:ascii="Marianne" w:hAnsi="Marianne"/>
        </w:rPr>
        <w:t>«</w:t>
      </w:r>
      <w:r w:rsidR="00F96FAA" w:rsidRPr="00AD73C8">
        <w:rPr>
          <w:rFonts w:cs="Calibri"/>
        </w:rPr>
        <w:t> </w:t>
      </w:r>
      <w:r w:rsidR="003752A2" w:rsidRPr="00AD73C8">
        <w:rPr>
          <w:rFonts w:ascii="Marianne" w:hAnsi="Marianne"/>
        </w:rPr>
        <w:t>entreprise</w:t>
      </w:r>
      <w:r w:rsidR="00F96FAA" w:rsidRPr="00AD73C8">
        <w:rPr>
          <w:rFonts w:cs="Calibri"/>
        </w:rPr>
        <w:t> </w:t>
      </w:r>
      <w:r w:rsidR="00F96FAA" w:rsidRPr="00AD73C8">
        <w:rPr>
          <w:rFonts w:ascii="Marianne" w:hAnsi="Marianne" w:cs="Marianne"/>
        </w:rPr>
        <w:t>»</w:t>
      </w:r>
      <w:r w:rsidR="003752A2" w:rsidRPr="00AD73C8">
        <w:rPr>
          <w:rFonts w:ascii="Marianne" w:hAnsi="Marianne"/>
        </w:rPr>
        <w:t xml:space="preserve"> </w:t>
      </w:r>
      <w:r w:rsidRPr="00AD73C8">
        <w:rPr>
          <w:rFonts w:ascii="Marianne" w:hAnsi="Marianne"/>
        </w:rPr>
        <w:t>au sens du droit de l’U</w:t>
      </w:r>
      <w:r w:rsidR="003D3B8C" w:rsidRPr="00AD73C8">
        <w:rPr>
          <w:rFonts w:ascii="Marianne" w:hAnsi="Marianne"/>
        </w:rPr>
        <w:t>nion européenne</w:t>
      </w:r>
      <w:r w:rsidRPr="00AD73C8">
        <w:rPr>
          <w:rFonts w:ascii="Marianne" w:hAnsi="Marianne"/>
        </w:rPr>
        <w:t xml:space="preserve"> </w:t>
      </w:r>
      <w:r w:rsidRPr="00AD73C8">
        <w:rPr>
          <w:rFonts w:ascii="Marianne" w:hAnsi="Marianne"/>
          <w:b/>
        </w:rPr>
        <w:t>toute entité exerçan</w:t>
      </w:r>
      <w:r w:rsidR="00547128" w:rsidRPr="00AD73C8">
        <w:rPr>
          <w:rFonts w:ascii="Marianne" w:hAnsi="Marianne"/>
          <w:b/>
        </w:rPr>
        <w:t xml:space="preserve">t une activité économique, quels </w:t>
      </w:r>
      <w:r w:rsidRPr="00AD73C8">
        <w:rPr>
          <w:rFonts w:ascii="Marianne" w:hAnsi="Marianne"/>
          <w:b/>
        </w:rPr>
        <w:t>que soi</w:t>
      </w:r>
      <w:r w:rsidR="00547128" w:rsidRPr="00AD73C8">
        <w:rPr>
          <w:rFonts w:ascii="Marianne" w:hAnsi="Marianne"/>
          <w:b/>
        </w:rPr>
        <w:t>en</w:t>
      </w:r>
      <w:r w:rsidRPr="00AD73C8">
        <w:rPr>
          <w:rFonts w:ascii="Marianne" w:hAnsi="Marianne"/>
          <w:b/>
        </w:rPr>
        <w:t>t son statut juridique</w:t>
      </w:r>
      <w:r w:rsidR="00547128" w:rsidRPr="00AD73C8">
        <w:rPr>
          <w:rFonts w:ascii="Marianne" w:hAnsi="Marianne"/>
          <w:b/>
        </w:rPr>
        <w:t>,</w:t>
      </w:r>
      <w:r w:rsidR="000532EF" w:rsidRPr="00AD73C8">
        <w:rPr>
          <w:rFonts w:ascii="Marianne" w:hAnsi="Marianne"/>
          <w:b/>
        </w:rPr>
        <w:t xml:space="preserve"> son mode de financement et </w:t>
      </w:r>
      <w:r w:rsidR="00547128" w:rsidRPr="00AD73C8">
        <w:rPr>
          <w:rFonts w:ascii="Marianne" w:hAnsi="Marianne"/>
          <w:b/>
        </w:rPr>
        <w:t>s</w:t>
      </w:r>
      <w:r w:rsidR="000532EF" w:rsidRPr="00AD73C8">
        <w:rPr>
          <w:rFonts w:ascii="Marianne" w:hAnsi="Marianne"/>
          <w:b/>
        </w:rPr>
        <w:t>a finalité</w:t>
      </w:r>
      <w:r w:rsidR="000532EF" w:rsidRPr="00AD73C8">
        <w:rPr>
          <w:rFonts w:ascii="Marianne" w:hAnsi="Marianne"/>
        </w:rPr>
        <w:t xml:space="preserve"> </w:t>
      </w:r>
      <w:r w:rsidR="00547128" w:rsidRPr="00AD73C8">
        <w:rPr>
          <w:rFonts w:ascii="Marianne" w:hAnsi="Marianne"/>
        </w:rPr>
        <w:t>(</w:t>
      </w:r>
      <w:r w:rsidR="000532EF" w:rsidRPr="00AD73C8">
        <w:rPr>
          <w:rFonts w:ascii="Marianne" w:hAnsi="Marianne"/>
        </w:rPr>
        <w:t>lucrative ou non lucrative</w:t>
      </w:r>
      <w:r w:rsidR="00547128" w:rsidRPr="00AD73C8">
        <w:rPr>
          <w:rFonts w:ascii="Marianne" w:hAnsi="Marianne"/>
        </w:rPr>
        <w:t>)</w:t>
      </w:r>
      <w:r w:rsidR="00323FE5" w:rsidRPr="00AD73C8">
        <w:rPr>
          <w:rStyle w:val="Appelnotedebasdep"/>
          <w:rFonts w:ascii="Marianne" w:hAnsi="Marianne"/>
        </w:rPr>
        <w:footnoteReference w:id="3"/>
      </w:r>
      <w:r w:rsidR="006A095A" w:rsidRPr="00AD73C8">
        <w:rPr>
          <w:rFonts w:ascii="Marianne" w:hAnsi="Marianne"/>
        </w:rPr>
        <w:t xml:space="preserve">. </w:t>
      </w:r>
      <w:r w:rsidR="000418E1" w:rsidRPr="00AD73C8">
        <w:rPr>
          <w:rFonts w:ascii="Marianne" w:hAnsi="Marianne"/>
        </w:rPr>
        <w:t>C</w:t>
      </w:r>
      <w:r w:rsidR="005E18E5" w:rsidRPr="00AD73C8">
        <w:rPr>
          <w:rFonts w:ascii="Marianne" w:hAnsi="Marianne"/>
        </w:rPr>
        <w:t xml:space="preserve">’est la nature de l’activité qui détermine la qualification d’entreprise, le statut juridique de l’entité en droit interne n’étant </w:t>
      </w:r>
      <w:r w:rsidR="00547128" w:rsidRPr="00AD73C8">
        <w:rPr>
          <w:rFonts w:ascii="Marianne" w:hAnsi="Marianne"/>
        </w:rPr>
        <w:t>aucunement décisif.</w:t>
      </w:r>
    </w:p>
    <w:p w:rsidR="00D94B48" w:rsidRPr="00AD73C8" w:rsidRDefault="00747DC3" w:rsidP="00FB3B9F">
      <w:pPr>
        <w:pStyle w:val="Notedebasdepage"/>
        <w:spacing w:line="276" w:lineRule="auto"/>
        <w:jc w:val="both"/>
        <w:rPr>
          <w:rFonts w:ascii="Marianne" w:hAnsi="Marianne"/>
          <w:sz w:val="22"/>
          <w:szCs w:val="22"/>
        </w:rPr>
      </w:pPr>
      <w:r w:rsidRPr="00AD73C8">
        <w:rPr>
          <w:rFonts w:ascii="Marianne" w:hAnsi="Marianne"/>
          <w:sz w:val="22"/>
          <w:szCs w:val="22"/>
        </w:rPr>
        <w:t>A titre d’exemple, une association</w:t>
      </w:r>
      <w:r w:rsidR="000B65D1" w:rsidRPr="00AD73C8">
        <w:rPr>
          <w:rFonts w:ascii="Marianne" w:hAnsi="Marianne"/>
          <w:sz w:val="22"/>
          <w:szCs w:val="22"/>
        </w:rPr>
        <w:t xml:space="preserve"> à but non lucratif</w:t>
      </w:r>
      <w:r w:rsidRPr="00AD73C8">
        <w:rPr>
          <w:rFonts w:ascii="Marianne" w:hAnsi="Marianne"/>
          <w:sz w:val="22"/>
          <w:szCs w:val="22"/>
        </w:rPr>
        <w:t xml:space="preserve"> ou un établissement public administratif exerçant une activité économique peut constituer </w:t>
      </w:r>
      <w:r w:rsidR="00547128" w:rsidRPr="00AD73C8">
        <w:rPr>
          <w:rFonts w:ascii="Marianne" w:hAnsi="Marianne"/>
          <w:sz w:val="22"/>
          <w:szCs w:val="22"/>
        </w:rPr>
        <w:t>une entreprise au sens du droit de l’Union européenne</w:t>
      </w:r>
      <w:r w:rsidRPr="00AD73C8">
        <w:rPr>
          <w:rFonts w:ascii="Marianne" w:hAnsi="Marianne"/>
          <w:sz w:val="22"/>
          <w:szCs w:val="22"/>
        </w:rPr>
        <w:t>.</w:t>
      </w:r>
      <w:r w:rsidR="00F24840" w:rsidRPr="00AD73C8">
        <w:rPr>
          <w:rFonts w:ascii="Marianne" w:hAnsi="Marianne"/>
          <w:sz w:val="22"/>
          <w:szCs w:val="22"/>
        </w:rPr>
        <w:t xml:space="preserve"> </w:t>
      </w:r>
      <w:r w:rsidR="006C37C7" w:rsidRPr="00AD73C8">
        <w:rPr>
          <w:rFonts w:ascii="Marianne" w:hAnsi="Marianne"/>
          <w:sz w:val="22"/>
          <w:szCs w:val="22"/>
        </w:rPr>
        <w:t>L</w:t>
      </w:r>
      <w:r w:rsidR="00D94B48" w:rsidRPr="00AD73C8">
        <w:rPr>
          <w:rFonts w:ascii="Marianne" w:hAnsi="Marianne"/>
          <w:sz w:val="22"/>
          <w:szCs w:val="22"/>
        </w:rPr>
        <w:t>’absence de but lucratif n’est</w:t>
      </w:r>
      <w:r w:rsidR="006C37C7" w:rsidRPr="00AD73C8">
        <w:rPr>
          <w:rFonts w:ascii="Marianne" w:hAnsi="Marianne"/>
          <w:sz w:val="22"/>
          <w:szCs w:val="22"/>
        </w:rPr>
        <w:t xml:space="preserve"> donc</w:t>
      </w:r>
      <w:r w:rsidR="00D94B48" w:rsidRPr="00AD73C8">
        <w:rPr>
          <w:rFonts w:ascii="Marianne" w:hAnsi="Marianne"/>
          <w:sz w:val="22"/>
          <w:szCs w:val="22"/>
        </w:rPr>
        <w:t xml:space="preserve"> pas de nature à écarter la qualification d’activité économique, seuls de rares critères relatifs à l’absence totale de contrepartie économique, à des prérogatives de puissance publique ou à des obligations de solidarité permett</w:t>
      </w:r>
      <w:r w:rsidR="00547128" w:rsidRPr="00AD73C8">
        <w:rPr>
          <w:rFonts w:ascii="Marianne" w:hAnsi="Marianne"/>
          <w:sz w:val="22"/>
          <w:szCs w:val="22"/>
        </w:rPr>
        <w:t>a</w:t>
      </w:r>
      <w:r w:rsidR="00D94B48" w:rsidRPr="00AD73C8">
        <w:rPr>
          <w:rFonts w:ascii="Marianne" w:hAnsi="Marianne"/>
          <w:sz w:val="22"/>
          <w:szCs w:val="22"/>
        </w:rPr>
        <w:t>nt d’y échapper.</w:t>
      </w:r>
      <w:r w:rsidR="00FB3B9F" w:rsidRPr="00AD73C8">
        <w:rPr>
          <w:rFonts w:ascii="Marianne" w:hAnsi="Marianne"/>
          <w:sz w:val="22"/>
          <w:szCs w:val="22"/>
        </w:rPr>
        <w:t xml:space="preserve"> </w:t>
      </w:r>
      <w:r w:rsidR="00D94B48" w:rsidRPr="00AD73C8">
        <w:rPr>
          <w:rFonts w:ascii="Marianne" w:hAnsi="Marianne"/>
          <w:sz w:val="22"/>
          <w:szCs w:val="22"/>
        </w:rPr>
        <w:t>Ainsi, selon la jurisprudence européenne, deux catégories d’activités ne relèvent pas du champ économique (et constituent donc la catégorie des services non économiques d’intérêt général – SNEIG)</w:t>
      </w:r>
      <w:r w:rsidR="00D94B48" w:rsidRPr="00AD73C8">
        <w:rPr>
          <w:rFonts w:ascii="Calibri" w:hAnsi="Calibri" w:cs="Calibri"/>
          <w:sz w:val="22"/>
          <w:szCs w:val="22"/>
        </w:rPr>
        <w:t> </w:t>
      </w:r>
      <w:r w:rsidR="00D94B48" w:rsidRPr="00AD73C8">
        <w:rPr>
          <w:rFonts w:ascii="Marianne" w:hAnsi="Marianne"/>
          <w:sz w:val="22"/>
          <w:szCs w:val="22"/>
        </w:rPr>
        <w:t xml:space="preserve">: </w:t>
      </w:r>
    </w:p>
    <w:p w:rsidR="00FB3B9F" w:rsidRPr="00AD73C8" w:rsidRDefault="00FB3B9F" w:rsidP="00FB3B9F">
      <w:pPr>
        <w:pStyle w:val="Notedebasdepage"/>
        <w:spacing w:line="276" w:lineRule="auto"/>
        <w:jc w:val="both"/>
        <w:rPr>
          <w:rFonts w:ascii="Marianne" w:hAnsi="Marianne"/>
          <w:sz w:val="22"/>
          <w:szCs w:val="22"/>
        </w:rPr>
      </w:pPr>
    </w:p>
    <w:p w:rsidR="00547128" w:rsidRPr="00AD73C8" w:rsidRDefault="00D94B48" w:rsidP="006A095A">
      <w:pPr>
        <w:numPr>
          <w:ilvl w:val="0"/>
          <w:numId w:val="10"/>
        </w:numPr>
        <w:spacing w:after="0"/>
        <w:jc w:val="both"/>
        <w:rPr>
          <w:rFonts w:ascii="Marianne" w:hAnsi="Marianne"/>
        </w:rPr>
      </w:pPr>
      <w:r w:rsidRPr="00AD73C8">
        <w:rPr>
          <w:rFonts w:ascii="Marianne" w:hAnsi="Marianne"/>
        </w:rPr>
        <w:t>celles impliquant l’exercice de prérogatives de puissance publique</w:t>
      </w:r>
      <w:r w:rsidR="000B65D1" w:rsidRPr="00AD73C8">
        <w:rPr>
          <w:rStyle w:val="Appelnotedebasdep"/>
          <w:rFonts w:ascii="Marianne" w:hAnsi="Marianne"/>
        </w:rPr>
        <w:footnoteReference w:id="4"/>
      </w:r>
      <w:r w:rsidR="00AE4111" w:rsidRPr="00AD73C8">
        <w:rPr>
          <w:rFonts w:ascii="Marianne" w:hAnsi="Marianne"/>
        </w:rPr>
        <w:t>, qui correspondent globalement aux services publics régaliens français</w:t>
      </w:r>
      <w:r w:rsidR="00AE4111" w:rsidRPr="00AD73C8">
        <w:rPr>
          <w:rFonts w:cs="Calibri"/>
        </w:rPr>
        <w:t> </w:t>
      </w:r>
      <w:r w:rsidR="00AE4111" w:rsidRPr="00AD73C8">
        <w:rPr>
          <w:rFonts w:ascii="Marianne" w:hAnsi="Marianne"/>
        </w:rPr>
        <w:t>;</w:t>
      </w:r>
    </w:p>
    <w:p w:rsidR="00D94B48" w:rsidRPr="00AD73C8" w:rsidRDefault="00D94B48" w:rsidP="00D94B48">
      <w:pPr>
        <w:numPr>
          <w:ilvl w:val="0"/>
          <w:numId w:val="10"/>
        </w:numPr>
        <w:spacing w:after="0"/>
        <w:jc w:val="both"/>
        <w:rPr>
          <w:rFonts w:ascii="Marianne" w:hAnsi="Marianne"/>
        </w:rPr>
      </w:pPr>
      <w:r w:rsidRPr="00AD73C8">
        <w:rPr>
          <w:rFonts w:ascii="Marianne" w:hAnsi="Marianne"/>
        </w:rPr>
        <w:t xml:space="preserve">celles à caractère exclusivement social, </w:t>
      </w:r>
      <w:r w:rsidR="004D795D" w:rsidRPr="00AD73C8">
        <w:rPr>
          <w:rFonts w:ascii="Marianne" w:hAnsi="Marianne"/>
        </w:rPr>
        <w:t>dépourvues de tout but lucratif et répondant à des exigences de solidarité nationale</w:t>
      </w:r>
      <w:r w:rsidR="00781235" w:rsidRPr="00AD73C8">
        <w:rPr>
          <w:rStyle w:val="Appelnotedebasdep"/>
          <w:rFonts w:ascii="Marianne" w:hAnsi="Marianne"/>
        </w:rPr>
        <w:footnoteReference w:id="5"/>
      </w:r>
      <w:r w:rsidRPr="00AD73C8">
        <w:rPr>
          <w:rFonts w:ascii="Marianne" w:hAnsi="Marianne"/>
        </w:rPr>
        <w:t xml:space="preserve">. </w:t>
      </w:r>
    </w:p>
    <w:p w:rsidR="00BE2359" w:rsidRPr="00AD73C8" w:rsidRDefault="00B97682" w:rsidP="0067492C">
      <w:pPr>
        <w:jc w:val="both"/>
        <w:rPr>
          <w:rFonts w:ascii="Marianne" w:hAnsi="Marianne"/>
        </w:rPr>
      </w:pPr>
      <w:r>
        <w:rPr>
          <w:rFonts w:ascii="Marianne" w:hAnsi="Marianne"/>
        </w:rPr>
        <w:br/>
      </w:r>
      <w:r w:rsidR="00BE2359" w:rsidRPr="00AD73C8">
        <w:rPr>
          <w:rFonts w:ascii="Marianne" w:hAnsi="Marianne"/>
        </w:rPr>
        <w:t>Enfin, la qualification d’entreprise est toujours liée à une activité bien précise</w:t>
      </w:r>
      <w:r w:rsidR="00BE2359" w:rsidRPr="00AD73C8">
        <w:rPr>
          <w:rFonts w:cs="Calibri"/>
        </w:rPr>
        <w:t> </w:t>
      </w:r>
      <w:r w:rsidR="00BE2359" w:rsidRPr="00AD73C8">
        <w:rPr>
          <w:rFonts w:ascii="Marianne" w:hAnsi="Marianne"/>
        </w:rPr>
        <w:t xml:space="preserve">: une entité exerçant à la fois une activité économique et une activité non économique doit </w:t>
      </w:r>
      <w:r w:rsidR="00547128" w:rsidRPr="00AD73C8">
        <w:rPr>
          <w:rFonts w:ascii="Marianne" w:hAnsi="Marianne"/>
        </w:rPr>
        <w:t>n’</w:t>
      </w:r>
      <w:r w:rsidR="00BE2359" w:rsidRPr="00AD73C8">
        <w:rPr>
          <w:rFonts w:ascii="Marianne" w:hAnsi="Marianne"/>
        </w:rPr>
        <w:t xml:space="preserve">être considérée comme une entreprise </w:t>
      </w:r>
      <w:r w:rsidR="00547128" w:rsidRPr="00AD73C8">
        <w:rPr>
          <w:rFonts w:ascii="Marianne" w:hAnsi="Marianne"/>
        </w:rPr>
        <w:t>qu’en ce qui</w:t>
      </w:r>
      <w:r w:rsidR="00BE2359" w:rsidRPr="00AD73C8">
        <w:rPr>
          <w:rFonts w:ascii="Marianne" w:hAnsi="Marianne"/>
        </w:rPr>
        <w:t xml:space="preserve"> concerne </w:t>
      </w:r>
      <w:r w:rsidR="00547128" w:rsidRPr="00AD73C8">
        <w:rPr>
          <w:rFonts w:ascii="Marianne" w:hAnsi="Marianne"/>
        </w:rPr>
        <w:t xml:space="preserve">son </w:t>
      </w:r>
      <w:r w:rsidR="00BE2359" w:rsidRPr="00AD73C8">
        <w:rPr>
          <w:rFonts w:ascii="Marianne" w:hAnsi="Marianne"/>
        </w:rPr>
        <w:t>activité économique.</w:t>
      </w:r>
    </w:p>
    <w:p w:rsidR="00E530E7" w:rsidRPr="00AD73C8" w:rsidRDefault="001F4A23" w:rsidP="001A718E">
      <w:pPr>
        <w:numPr>
          <w:ilvl w:val="0"/>
          <w:numId w:val="8"/>
        </w:numPr>
        <w:ind w:left="284" w:hanging="284"/>
        <w:jc w:val="both"/>
        <w:rPr>
          <w:rFonts w:ascii="Marianne" w:hAnsi="Marianne"/>
          <w:b/>
        </w:rPr>
      </w:pPr>
      <w:r w:rsidRPr="00AD73C8">
        <w:rPr>
          <w:rFonts w:ascii="Marianne" w:hAnsi="Marianne"/>
          <w:b/>
        </w:rPr>
        <w:lastRenderedPageBreak/>
        <w:t>L</w:t>
      </w:r>
      <w:r w:rsidR="005F1C96" w:rsidRPr="00AD73C8">
        <w:rPr>
          <w:rFonts w:ascii="Marianne" w:hAnsi="Marianne"/>
          <w:b/>
        </w:rPr>
        <w:t>a mission</w:t>
      </w:r>
      <w:r w:rsidRPr="00AD73C8">
        <w:rPr>
          <w:rFonts w:ascii="Marianne" w:hAnsi="Marianne"/>
          <w:b/>
        </w:rPr>
        <w:t xml:space="preserve"> doit être </w:t>
      </w:r>
      <w:r w:rsidR="000E5524" w:rsidRPr="00AD73C8">
        <w:rPr>
          <w:rFonts w:ascii="Marianne" w:hAnsi="Marianne"/>
          <w:b/>
        </w:rPr>
        <w:t xml:space="preserve">confiée à une entreprise </w:t>
      </w:r>
      <w:r w:rsidR="00F24840" w:rsidRPr="00AD73C8">
        <w:rPr>
          <w:rFonts w:ascii="Marianne" w:hAnsi="Marianne"/>
          <w:b/>
        </w:rPr>
        <w:t>au moyen d’</w:t>
      </w:r>
      <w:r w:rsidR="000E5524" w:rsidRPr="00AD73C8">
        <w:rPr>
          <w:rFonts w:ascii="Marianne" w:hAnsi="Marianne"/>
          <w:b/>
        </w:rPr>
        <w:t>un acte exprès de la puissance publique</w:t>
      </w:r>
    </w:p>
    <w:p w:rsidR="0025624F" w:rsidRPr="00AD73C8" w:rsidRDefault="0025624F" w:rsidP="00E530E7">
      <w:pPr>
        <w:jc w:val="both"/>
        <w:rPr>
          <w:rFonts w:ascii="Marianne" w:hAnsi="Marianne"/>
        </w:rPr>
      </w:pPr>
      <w:r w:rsidRPr="00AD73C8">
        <w:rPr>
          <w:rFonts w:ascii="Marianne" w:hAnsi="Marianne"/>
        </w:rPr>
        <w:t xml:space="preserve">La mission de service public doit être dévolue à </w:t>
      </w:r>
      <w:r w:rsidR="00F24840" w:rsidRPr="00AD73C8">
        <w:rPr>
          <w:rFonts w:ascii="Marianne" w:hAnsi="Marianne"/>
        </w:rPr>
        <w:t>l’</w:t>
      </w:r>
      <w:r w:rsidRPr="00AD73C8">
        <w:rPr>
          <w:rFonts w:ascii="Marianne" w:hAnsi="Marianne"/>
        </w:rPr>
        <w:t xml:space="preserve">entreprise par un </w:t>
      </w:r>
      <w:r w:rsidRPr="00AD73C8">
        <w:rPr>
          <w:rFonts w:ascii="Marianne" w:hAnsi="Marianne"/>
          <w:b/>
        </w:rPr>
        <w:t>acte exprès et exp</w:t>
      </w:r>
      <w:r w:rsidR="006A095A" w:rsidRPr="00AD73C8">
        <w:rPr>
          <w:rFonts w:ascii="Marianne" w:hAnsi="Marianne"/>
          <w:b/>
        </w:rPr>
        <w:t xml:space="preserve">licite de la puissance </w:t>
      </w:r>
      <w:r w:rsidR="00B97682" w:rsidRPr="00AD73C8">
        <w:rPr>
          <w:rFonts w:ascii="Marianne" w:hAnsi="Marianne"/>
          <w:b/>
        </w:rPr>
        <w:t>publique</w:t>
      </w:r>
      <w:r w:rsidR="00B97682">
        <w:rPr>
          <w:rFonts w:ascii="Marianne" w:hAnsi="Marianne"/>
        </w:rPr>
        <w:t xml:space="preserve">. </w:t>
      </w:r>
      <w:r w:rsidR="00F24840" w:rsidRPr="00AD73C8">
        <w:rPr>
          <w:rFonts w:ascii="Marianne" w:hAnsi="Marianne"/>
        </w:rPr>
        <w:t>Cet</w:t>
      </w:r>
      <w:r w:rsidRPr="00AD73C8">
        <w:rPr>
          <w:rFonts w:ascii="Marianne" w:hAnsi="Marianne"/>
        </w:rPr>
        <w:t xml:space="preserve"> acte</w:t>
      </w:r>
      <w:r w:rsidR="00F24840" w:rsidRPr="00AD73C8">
        <w:rPr>
          <w:rFonts w:ascii="Marianne" w:hAnsi="Marianne"/>
        </w:rPr>
        <w:t>,</w:t>
      </w:r>
      <w:r w:rsidRPr="00AD73C8">
        <w:rPr>
          <w:rFonts w:ascii="Marianne" w:hAnsi="Marianne"/>
        </w:rPr>
        <w:t xml:space="preserve"> </w:t>
      </w:r>
      <w:r w:rsidR="00F24840" w:rsidRPr="00AD73C8">
        <w:rPr>
          <w:rFonts w:ascii="Marianne" w:hAnsi="Marianne"/>
        </w:rPr>
        <w:t xml:space="preserve">lorsqu’il établit les obligations de service public mises à charge de l’opérateur, peut être qualifié de mandat au sens de la réglementation relative aux SIEG et </w:t>
      </w:r>
      <w:r w:rsidRPr="00AD73C8">
        <w:rPr>
          <w:rFonts w:ascii="Marianne" w:hAnsi="Marianne"/>
        </w:rPr>
        <w:t>constitue l’une des conditions de la compatibilité avec le marché intérieur des financements de service</w:t>
      </w:r>
      <w:r w:rsidR="001A1DB0" w:rsidRPr="00AD73C8">
        <w:rPr>
          <w:rFonts w:ascii="Marianne" w:hAnsi="Marianne"/>
        </w:rPr>
        <w:t>s</w:t>
      </w:r>
      <w:r w:rsidRPr="00AD73C8">
        <w:rPr>
          <w:rFonts w:ascii="Marianne" w:hAnsi="Marianne"/>
        </w:rPr>
        <w:t xml:space="preserve"> public</w:t>
      </w:r>
      <w:r w:rsidR="001A1DB0" w:rsidRPr="00AD73C8">
        <w:rPr>
          <w:rFonts w:ascii="Marianne" w:hAnsi="Marianne"/>
        </w:rPr>
        <w:t>s</w:t>
      </w:r>
      <w:r w:rsidR="00F24840" w:rsidRPr="00AD73C8">
        <w:rPr>
          <w:rFonts w:ascii="Marianne" w:hAnsi="Marianne"/>
        </w:rPr>
        <w:t>,</w:t>
      </w:r>
    </w:p>
    <w:p w:rsidR="00B06611" w:rsidRPr="00AD73C8" w:rsidRDefault="00810973" w:rsidP="001A718E">
      <w:pPr>
        <w:numPr>
          <w:ilvl w:val="0"/>
          <w:numId w:val="8"/>
        </w:numPr>
        <w:ind w:left="284" w:hanging="284"/>
        <w:jc w:val="both"/>
        <w:rPr>
          <w:rFonts w:ascii="Marianne" w:hAnsi="Marianne"/>
        </w:rPr>
      </w:pPr>
      <w:r w:rsidRPr="00AD73C8">
        <w:rPr>
          <w:rFonts w:ascii="Marianne" w:hAnsi="Marianne"/>
          <w:b/>
        </w:rPr>
        <w:t>L’</w:t>
      </w:r>
      <w:r w:rsidR="000E5524" w:rsidRPr="00AD73C8">
        <w:rPr>
          <w:rFonts w:ascii="Marianne" w:hAnsi="Marianne"/>
          <w:b/>
        </w:rPr>
        <w:t xml:space="preserve">activité </w:t>
      </w:r>
      <w:r w:rsidRPr="00AD73C8">
        <w:rPr>
          <w:rFonts w:ascii="Marianne" w:hAnsi="Marianne"/>
          <w:b/>
        </w:rPr>
        <w:t xml:space="preserve">constitue une mission </w:t>
      </w:r>
      <w:r w:rsidR="000E5524" w:rsidRPr="00AD73C8">
        <w:rPr>
          <w:rFonts w:ascii="Marianne" w:hAnsi="Marianne"/>
          <w:b/>
        </w:rPr>
        <w:t>d’intérêt général</w:t>
      </w:r>
      <w:r w:rsidR="00B06611" w:rsidRPr="00AD73C8">
        <w:rPr>
          <w:rFonts w:cs="Calibri"/>
        </w:rPr>
        <w:t> </w:t>
      </w:r>
    </w:p>
    <w:p w:rsidR="00AF33E6" w:rsidRPr="00AD73C8" w:rsidRDefault="00B06611" w:rsidP="00162BB5">
      <w:pPr>
        <w:spacing w:after="0"/>
        <w:jc w:val="both"/>
        <w:rPr>
          <w:rFonts w:ascii="Marianne" w:hAnsi="Marianne"/>
        </w:rPr>
      </w:pPr>
      <w:r w:rsidRPr="00AD73C8">
        <w:rPr>
          <w:rFonts w:ascii="Marianne" w:hAnsi="Marianne"/>
        </w:rPr>
        <w:t>L’activité</w:t>
      </w:r>
      <w:r w:rsidR="009B4FF2" w:rsidRPr="00AD73C8">
        <w:rPr>
          <w:rFonts w:ascii="Marianne" w:hAnsi="Marianne"/>
        </w:rPr>
        <w:t xml:space="preserve"> doit présenter des </w:t>
      </w:r>
      <w:r w:rsidR="009B4FF2" w:rsidRPr="00AD73C8">
        <w:rPr>
          <w:rFonts w:ascii="Marianne" w:hAnsi="Marianne"/>
          <w:b/>
        </w:rPr>
        <w:t>caractéristiques spécifiques</w:t>
      </w:r>
      <w:r w:rsidR="009B4FF2" w:rsidRPr="00AD73C8">
        <w:rPr>
          <w:rFonts w:ascii="Marianne" w:hAnsi="Marianne"/>
        </w:rPr>
        <w:t xml:space="preserve"> par rapport à ce</w:t>
      </w:r>
      <w:r w:rsidR="00F0716D" w:rsidRPr="00AD73C8">
        <w:rPr>
          <w:rFonts w:ascii="Marianne" w:hAnsi="Marianne"/>
        </w:rPr>
        <w:t>lles</w:t>
      </w:r>
      <w:r w:rsidR="009B4FF2" w:rsidRPr="00AD73C8">
        <w:rPr>
          <w:rFonts w:ascii="Marianne" w:hAnsi="Marianne"/>
        </w:rPr>
        <w:t xml:space="preserve"> que revêtent d’autres activités de la vie économique.</w:t>
      </w:r>
      <w:r w:rsidR="00470B7B" w:rsidRPr="00AD73C8">
        <w:rPr>
          <w:rFonts w:ascii="Marianne" w:hAnsi="Marianne"/>
        </w:rPr>
        <w:t xml:space="preserve"> </w:t>
      </w:r>
      <w:r w:rsidR="00162BB5" w:rsidRPr="00AD73C8">
        <w:rPr>
          <w:rFonts w:ascii="Marianne" w:hAnsi="Marianne"/>
        </w:rPr>
        <w:t xml:space="preserve">Elle doit également revêtir un </w:t>
      </w:r>
      <w:r w:rsidR="00162BB5" w:rsidRPr="00AD73C8">
        <w:rPr>
          <w:rFonts w:ascii="Marianne" w:hAnsi="Marianne"/>
          <w:b/>
        </w:rPr>
        <w:t>caractère obligatoire</w:t>
      </w:r>
      <w:r w:rsidR="00162BB5" w:rsidRPr="00AD73C8">
        <w:rPr>
          <w:rFonts w:ascii="Marianne" w:hAnsi="Marianne"/>
        </w:rPr>
        <w:t>. En effet, l</w:t>
      </w:r>
      <w:r w:rsidR="00470B7B" w:rsidRPr="00AD73C8">
        <w:rPr>
          <w:rFonts w:ascii="Marianne" w:hAnsi="Marianne"/>
        </w:rPr>
        <w:t xml:space="preserve">e caractère d’intérêt général est défini à titre principal par les </w:t>
      </w:r>
      <w:r w:rsidR="006D53A0" w:rsidRPr="00AD73C8">
        <w:rPr>
          <w:rFonts w:ascii="Marianne" w:hAnsi="Marianne"/>
        </w:rPr>
        <w:t>obligations de service public</w:t>
      </w:r>
      <w:r w:rsidR="00470B7B" w:rsidRPr="00AD73C8">
        <w:rPr>
          <w:rFonts w:ascii="Marianne" w:hAnsi="Marianne"/>
        </w:rPr>
        <w:t xml:space="preserve"> que fait peser la puissance publique sur l’opérateur s’étant vu confier le SIEG</w:t>
      </w:r>
      <w:r w:rsidR="003D609B" w:rsidRPr="00AD73C8">
        <w:rPr>
          <w:rStyle w:val="Appelnotedebasdep"/>
          <w:rFonts w:ascii="Marianne" w:hAnsi="Marianne"/>
        </w:rPr>
        <w:footnoteReference w:id="6"/>
      </w:r>
      <w:r w:rsidR="00470B7B" w:rsidRPr="00AD73C8">
        <w:rPr>
          <w:rFonts w:ascii="Marianne" w:hAnsi="Marianne"/>
        </w:rPr>
        <w:t>.</w:t>
      </w:r>
      <w:r w:rsidR="006A095A" w:rsidRPr="00AD73C8">
        <w:rPr>
          <w:rFonts w:ascii="Marianne" w:hAnsi="Marianne"/>
        </w:rPr>
        <w:t xml:space="preserve"> </w:t>
      </w:r>
      <w:r w:rsidR="00F430EA" w:rsidRPr="00AD73C8">
        <w:rPr>
          <w:rFonts w:ascii="Marianne" w:hAnsi="Marianne"/>
        </w:rPr>
        <w:t>La Commission précise par ailleurs que «</w:t>
      </w:r>
      <w:r w:rsidR="00F430EA" w:rsidRPr="00AD73C8">
        <w:rPr>
          <w:rFonts w:cs="Calibri"/>
        </w:rPr>
        <w:t> </w:t>
      </w:r>
      <w:r w:rsidR="00F430EA" w:rsidRPr="00AD73C8">
        <w:rPr>
          <w:rFonts w:ascii="Marianne" w:hAnsi="Marianne"/>
          <w:i/>
        </w:rPr>
        <w:t xml:space="preserve">pour être qualifiés de SIEG, les services doivent être destinés aux citoyens ou être fournis dans l’intérêt de la société </w:t>
      </w:r>
      <w:r w:rsidR="00F430EA" w:rsidRPr="00AD73C8">
        <w:rPr>
          <w:rFonts w:ascii="Marianne" w:hAnsi="Marianne"/>
          <w:b/>
          <w:i/>
        </w:rPr>
        <w:t>dans son ensemble</w:t>
      </w:r>
      <w:r w:rsidR="00F430EA" w:rsidRPr="00AD73C8">
        <w:rPr>
          <w:rFonts w:cs="Calibri"/>
        </w:rPr>
        <w:t> </w:t>
      </w:r>
      <w:r w:rsidR="00F430EA" w:rsidRPr="00AD73C8">
        <w:rPr>
          <w:rFonts w:ascii="Marianne" w:hAnsi="Marianne" w:cs="Marianne"/>
        </w:rPr>
        <w:t>»</w:t>
      </w:r>
      <w:r w:rsidR="00F430EA" w:rsidRPr="00AD73C8">
        <w:rPr>
          <w:rStyle w:val="Appelnotedebasdep"/>
          <w:rFonts w:ascii="Marianne" w:hAnsi="Marianne"/>
        </w:rPr>
        <w:footnoteReference w:id="7"/>
      </w:r>
      <w:r w:rsidR="00F430EA" w:rsidRPr="00AD73C8">
        <w:rPr>
          <w:rFonts w:ascii="Marianne" w:hAnsi="Marianne"/>
        </w:rPr>
        <w:t>.</w:t>
      </w:r>
    </w:p>
    <w:p w:rsidR="005538C1" w:rsidRPr="00AD73C8" w:rsidRDefault="005538C1" w:rsidP="00162BB5">
      <w:pPr>
        <w:spacing w:after="0"/>
        <w:jc w:val="both"/>
        <w:rPr>
          <w:rFonts w:ascii="Marianne" w:hAnsi="Marianne"/>
        </w:rPr>
      </w:pPr>
    </w:p>
    <w:p w:rsidR="009A6EF3" w:rsidRPr="00AD73C8" w:rsidRDefault="006A095A" w:rsidP="0067492C">
      <w:pPr>
        <w:pBdr>
          <w:top w:val="single" w:sz="4" w:space="1" w:color="auto"/>
          <w:left w:val="single" w:sz="4" w:space="1" w:color="auto"/>
          <w:bottom w:val="single" w:sz="4" w:space="1" w:color="auto"/>
          <w:right w:val="single" w:sz="4" w:space="1" w:color="auto"/>
        </w:pBdr>
        <w:jc w:val="both"/>
        <w:rPr>
          <w:rFonts w:ascii="Marianne" w:hAnsi="Marianne"/>
          <w:b/>
        </w:rPr>
      </w:pPr>
      <w:r w:rsidRPr="00AD73C8">
        <w:rPr>
          <w:rFonts w:ascii="Marianne" w:hAnsi="Marianne"/>
        </w:rPr>
        <w:sym w:font="Wingdings" w:char="F046"/>
      </w:r>
      <w:r w:rsidRPr="00AD73C8">
        <w:rPr>
          <w:rFonts w:ascii="Marianne" w:hAnsi="Marianne"/>
        </w:rPr>
        <w:t xml:space="preserve"> </w:t>
      </w:r>
      <w:r w:rsidR="0067492C" w:rsidRPr="00AD73C8">
        <w:rPr>
          <w:rFonts w:ascii="Marianne" w:hAnsi="Marianne"/>
          <w:b/>
        </w:rPr>
        <w:t>La collectivité publique organisatrice dispose d’un large pouvoir d’appréciation pour qualifier une activité de SIEG, le rôle du juge, national ou communautaire, se limitant au contrôle de l’erreur manifeste d’appréciation.</w:t>
      </w:r>
      <w:r w:rsidR="00F24840" w:rsidRPr="00AD73C8">
        <w:rPr>
          <w:rFonts w:ascii="Marianne" w:hAnsi="Marianne"/>
          <w:b/>
        </w:rPr>
        <w:t xml:space="preserve"> Les</w:t>
      </w:r>
      <w:r w:rsidR="009A6EF3" w:rsidRPr="00AD73C8">
        <w:rPr>
          <w:rFonts w:ascii="Marianne" w:hAnsi="Marianne"/>
          <w:b/>
        </w:rPr>
        <w:t xml:space="preserve"> trois critè</w:t>
      </w:r>
      <w:r w:rsidR="00BA3762" w:rsidRPr="00AD73C8">
        <w:rPr>
          <w:rFonts w:ascii="Marianne" w:hAnsi="Marianne"/>
          <w:b/>
        </w:rPr>
        <w:t xml:space="preserve">res précités </w:t>
      </w:r>
      <w:r w:rsidR="00F24840" w:rsidRPr="00AD73C8">
        <w:rPr>
          <w:rFonts w:ascii="Marianne" w:hAnsi="Marianne"/>
          <w:b/>
        </w:rPr>
        <w:t xml:space="preserve">permettent de vérifier </w:t>
      </w:r>
      <w:r w:rsidR="009A6EF3" w:rsidRPr="00AD73C8">
        <w:rPr>
          <w:rFonts w:ascii="Marianne" w:hAnsi="Marianne"/>
          <w:b/>
        </w:rPr>
        <w:t xml:space="preserve">la qualification de SIEG. </w:t>
      </w:r>
      <w:r w:rsidR="00F24840" w:rsidRPr="00AD73C8">
        <w:rPr>
          <w:rFonts w:ascii="Marianne" w:hAnsi="Marianne"/>
          <w:b/>
        </w:rPr>
        <w:t>Aussi</w:t>
      </w:r>
      <w:r w:rsidR="009A6EF3" w:rsidRPr="00AD73C8">
        <w:rPr>
          <w:rFonts w:ascii="Marianne" w:hAnsi="Marianne"/>
          <w:b/>
        </w:rPr>
        <w:t>, il convient donc de ne pas opérer une totale assimilation du SIEG au service public industriel et commercial (SPIC) au sens du droit interne</w:t>
      </w:r>
      <w:r w:rsidR="00F24840" w:rsidRPr="00AD73C8">
        <w:rPr>
          <w:rFonts w:ascii="Marianne" w:hAnsi="Marianne"/>
          <w:b/>
        </w:rPr>
        <w:t>, dans la mesure où</w:t>
      </w:r>
      <w:r w:rsidR="009A6EF3" w:rsidRPr="00AD73C8">
        <w:rPr>
          <w:rFonts w:ascii="Marianne" w:hAnsi="Marianne"/>
          <w:b/>
        </w:rPr>
        <w:t xml:space="preserve"> </w:t>
      </w:r>
      <w:r w:rsidR="00F24840" w:rsidRPr="00AD73C8">
        <w:rPr>
          <w:rFonts w:ascii="Marianne" w:hAnsi="Marianne"/>
          <w:b/>
        </w:rPr>
        <w:t>c</w:t>
      </w:r>
      <w:r w:rsidR="009A6EF3" w:rsidRPr="00AD73C8">
        <w:rPr>
          <w:rFonts w:ascii="Marianne" w:hAnsi="Marianne"/>
          <w:b/>
        </w:rPr>
        <w:t>ertains services publics administratifs (SPA) sont susceptibles d</w:t>
      </w:r>
      <w:r w:rsidR="000B634A" w:rsidRPr="00AD73C8">
        <w:rPr>
          <w:rFonts w:ascii="Marianne" w:hAnsi="Marianne"/>
          <w:b/>
        </w:rPr>
        <w:t>e remplir les critères de l’activité économique</w:t>
      </w:r>
      <w:r w:rsidR="009A6EF3" w:rsidRPr="00AD73C8">
        <w:rPr>
          <w:rFonts w:ascii="Marianne" w:hAnsi="Marianne"/>
          <w:b/>
        </w:rPr>
        <w:t xml:space="preserve"> au sens du droit </w:t>
      </w:r>
      <w:r w:rsidR="003025FD" w:rsidRPr="00AD73C8">
        <w:rPr>
          <w:rFonts w:ascii="Marianne" w:hAnsi="Marianne"/>
          <w:b/>
        </w:rPr>
        <w:t>européen.</w:t>
      </w:r>
    </w:p>
    <w:p w:rsidR="00F108C1" w:rsidRPr="00AD73C8" w:rsidRDefault="00F108C1" w:rsidP="004D5494">
      <w:pPr>
        <w:jc w:val="both"/>
        <w:rPr>
          <w:rFonts w:ascii="Marianne" w:hAnsi="Marianne"/>
          <w:b/>
        </w:rPr>
      </w:pPr>
    </w:p>
    <w:p w:rsidR="00CF3EE3" w:rsidRPr="00AD73C8" w:rsidRDefault="004D795D" w:rsidP="004D5494">
      <w:pPr>
        <w:jc w:val="both"/>
        <w:rPr>
          <w:rFonts w:ascii="Marianne" w:hAnsi="Marianne"/>
          <w:b/>
          <w:smallCaps/>
        </w:rPr>
      </w:pPr>
      <w:r w:rsidRPr="00AD73C8">
        <w:rPr>
          <w:rFonts w:ascii="Marianne" w:hAnsi="Marianne"/>
          <w:b/>
          <w:smallCaps/>
        </w:rPr>
        <w:t xml:space="preserve">III- </w:t>
      </w:r>
      <w:r w:rsidR="00EE755D" w:rsidRPr="00AD73C8">
        <w:rPr>
          <w:rFonts w:ascii="Marianne" w:hAnsi="Marianne"/>
          <w:b/>
          <w:smallCaps/>
        </w:rPr>
        <w:t>Le mandat</w:t>
      </w:r>
      <w:r w:rsidR="00134EF5" w:rsidRPr="00AD73C8">
        <w:rPr>
          <w:rFonts w:ascii="Marianne" w:hAnsi="Marianne"/>
          <w:b/>
          <w:smallCaps/>
        </w:rPr>
        <w:t xml:space="preserve"> et l’organisation du SIEG</w:t>
      </w:r>
    </w:p>
    <w:p w:rsidR="005538C1" w:rsidRPr="00AD73C8" w:rsidRDefault="005538C1" w:rsidP="005538C1">
      <w:pPr>
        <w:jc w:val="both"/>
        <w:rPr>
          <w:rFonts w:ascii="Marianne" w:hAnsi="Marianne"/>
        </w:rPr>
      </w:pPr>
      <w:r w:rsidRPr="00AD73C8">
        <w:rPr>
          <w:rFonts w:ascii="Marianne" w:hAnsi="Marianne"/>
        </w:rPr>
        <w:t xml:space="preserve">Le mandat est la traduction de la mission de service public confiée par la collectivité publique à une entreprise. Il </w:t>
      </w:r>
      <w:r w:rsidR="004D6836" w:rsidRPr="00AD73C8">
        <w:rPr>
          <w:rFonts w:ascii="Marianne" w:hAnsi="Marianne"/>
        </w:rPr>
        <w:t xml:space="preserve">fixe </w:t>
      </w:r>
      <w:r w:rsidRPr="00AD73C8">
        <w:rPr>
          <w:rFonts w:ascii="Marianne" w:hAnsi="Marianne"/>
        </w:rPr>
        <w:t>les obligations de service public mises à la charge de l’opérateur, et la compensation qui lui est versée en contrepartie.</w:t>
      </w:r>
    </w:p>
    <w:p w:rsidR="005538C1" w:rsidRPr="00AD73C8" w:rsidRDefault="005538C1" w:rsidP="005538C1">
      <w:pPr>
        <w:jc w:val="both"/>
        <w:rPr>
          <w:rFonts w:ascii="Marianne" w:hAnsi="Marianne"/>
        </w:rPr>
      </w:pPr>
      <w:r w:rsidRPr="00AD73C8">
        <w:rPr>
          <w:rFonts w:ascii="Marianne" w:hAnsi="Marianne"/>
        </w:rPr>
        <w:t xml:space="preserve">Il doit </w:t>
      </w:r>
      <w:r w:rsidRPr="00AD73C8">
        <w:rPr>
          <w:rFonts w:ascii="Marianne" w:hAnsi="Marianne"/>
          <w:b/>
        </w:rPr>
        <w:t>impérativement</w:t>
      </w:r>
      <w:r w:rsidRPr="00AD73C8">
        <w:rPr>
          <w:rFonts w:ascii="Marianne" w:hAnsi="Marianne"/>
        </w:rPr>
        <w:t xml:space="preserve"> indiquer</w:t>
      </w:r>
      <w:r w:rsidRPr="00AD73C8">
        <w:rPr>
          <w:rFonts w:cs="Calibri"/>
        </w:rPr>
        <w:t> </w:t>
      </w:r>
      <w:r w:rsidRPr="00AD73C8">
        <w:rPr>
          <w:rFonts w:ascii="Marianne" w:hAnsi="Marianne"/>
        </w:rPr>
        <w:t xml:space="preserve">: </w:t>
      </w:r>
    </w:p>
    <w:p w:rsidR="005538C1" w:rsidRPr="00AD73C8" w:rsidRDefault="005538C1" w:rsidP="005538C1">
      <w:pPr>
        <w:numPr>
          <w:ilvl w:val="0"/>
          <w:numId w:val="10"/>
        </w:numPr>
        <w:spacing w:after="0"/>
        <w:jc w:val="both"/>
        <w:rPr>
          <w:rFonts w:ascii="Marianne" w:hAnsi="Marianne"/>
        </w:rPr>
      </w:pPr>
      <w:r w:rsidRPr="00AD73C8">
        <w:rPr>
          <w:rFonts w:ascii="Marianne" w:hAnsi="Marianne"/>
        </w:rPr>
        <w:t>la nature et la durée des obligations de service public</w:t>
      </w:r>
      <w:r w:rsidR="006A095A" w:rsidRPr="00AD73C8">
        <w:rPr>
          <w:rFonts w:cs="Calibri"/>
        </w:rPr>
        <w:t> </w:t>
      </w:r>
      <w:r w:rsidR="006A095A" w:rsidRPr="00AD73C8">
        <w:rPr>
          <w:rFonts w:ascii="Marianne" w:hAnsi="Marianne"/>
        </w:rPr>
        <w:t>;</w:t>
      </w:r>
    </w:p>
    <w:p w:rsidR="005538C1" w:rsidRPr="00AD73C8" w:rsidRDefault="005538C1" w:rsidP="005538C1">
      <w:pPr>
        <w:numPr>
          <w:ilvl w:val="0"/>
          <w:numId w:val="10"/>
        </w:numPr>
        <w:spacing w:after="0"/>
        <w:jc w:val="both"/>
        <w:rPr>
          <w:rFonts w:ascii="Marianne" w:hAnsi="Marianne"/>
        </w:rPr>
      </w:pPr>
      <w:r w:rsidRPr="00AD73C8">
        <w:rPr>
          <w:rFonts w:ascii="Marianne" w:hAnsi="Marianne"/>
        </w:rPr>
        <w:t>l’entreprise concernée</w:t>
      </w:r>
      <w:r w:rsidR="006A095A" w:rsidRPr="00AD73C8">
        <w:rPr>
          <w:rFonts w:cs="Calibri"/>
        </w:rPr>
        <w:t> </w:t>
      </w:r>
      <w:r w:rsidR="006A095A" w:rsidRPr="00AD73C8">
        <w:rPr>
          <w:rFonts w:ascii="Marianne" w:hAnsi="Marianne"/>
        </w:rPr>
        <w:t>;</w:t>
      </w:r>
    </w:p>
    <w:p w:rsidR="005538C1" w:rsidRPr="00AD73C8" w:rsidRDefault="005538C1" w:rsidP="005538C1">
      <w:pPr>
        <w:numPr>
          <w:ilvl w:val="0"/>
          <w:numId w:val="10"/>
        </w:numPr>
        <w:spacing w:after="0"/>
        <w:jc w:val="both"/>
        <w:rPr>
          <w:rFonts w:ascii="Marianne" w:hAnsi="Marianne"/>
        </w:rPr>
      </w:pPr>
      <w:r w:rsidRPr="00AD73C8">
        <w:rPr>
          <w:rFonts w:ascii="Marianne" w:hAnsi="Marianne"/>
        </w:rPr>
        <w:t>le territoire concerné</w:t>
      </w:r>
      <w:r w:rsidR="006A095A" w:rsidRPr="00AD73C8">
        <w:rPr>
          <w:rFonts w:cs="Calibri"/>
        </w:rPr>
        <w:t> </w:t>
      </w:r>
      <w:r w:rsidR="006A095A" w:rsidRPr="00AD73C8">
        <w:rPr>
          <w:rFonts w:ascii="Marianne" w:hAnsi="Marianne"/>
        </w:rPr>
        <w:t>;</w:t>
      </w:r>
    </w:p>
    <w:p w:rsidR="005538C1" w:rsidRPr="00AD73C8" w:rsidRDefault="005538C1" w:rsidP="005538C1">
      <w:pPr>
        <w:numPr>
          <w:ilvl w:val="0"/>
          <w:numId w:val="10"/>
        </w:numPr>
        <w:spacing w:after="0"/>
        <w:jc w:val="both"/>
        <w:rPr>
          <w:rFonts w:ascii="Marianne" w:hAnsi="Marianne"/>
        </w:rPr>
      </w:pPr>
      <w:r w:rsidRPr="00AD73C8">
        <w:rPr>
          <w:rFonts w:ascii="Marianne" w:hAnsi="Marianne"/>
        </w:rPr>
        <w:t>la</w:t>
      </w:r>
      <w:bookmarkStart w:id="0" w:name="_GoBack"/>
      <w:bookmarkEnd w:id="0"/>
      <w:r w:rsidRPr="00AD73C8">
        <w:rPr>
          <w:rFonts w:ascii="Marianne" w:hAnsi="Marianne"/>
        </w:rPr>
        <w:t xml:space="preserve"> nature des droits exclusifs ou spéciaux éventuellement octroyés à l’entreprise</w:t>
      </w:r>
      <w:r w:rsidR="006A095A" w:rsidRPr="00AD73C8">
        <w:rPr>
          <w:rFonts w:cs="Calibri"/>
        </w:rPr>
        <w:t> </w:t>
      </w:r>
      <w:r w:rsidR="006A095A" w:rsidRPr="00AD73C8">
        <w:rPr>
          <w:rFonts w:ascii="Marianne" w:hAnsi="Marianne"/>
        </w:rPr>
        <w:t>;</w:t>
      </w:r>
    </w:p>
    <w:p w:rsidR="005538C1" w:rsidRPr="00AD73C8" w:rsidRDefault="005538C1" w:rsidP="005538C1">
      <w:pPr>
        <w:numPr>
          <w:ilvl w:val="0"/>
          <w:numId w:val="10"/>
        </w:numPr>
        <w:spacing w:after="0"/>
        <w:jc w:val="both"/>
        <w:rPr>
          <w:rFonts w:ascii="Marianne" w:hAnsi="Marianne"/>
        </w:rPr>
      </w:pPr>
      <w:r w:rsidRPr="00AD73C8">
        <w:rPr>
          <w:rFonts w:ascii="Marianne" w:hAnsi="Marianne"/>
        </w:rPr>
        <w:t>la description du mécanisme de compensation et les paramètres de calcul, de contrôle et de révision de la compensation</w:t>
      </w:r>
      <w:r w:rsidR="006A095A" w:rsidRPr="00AD73C8">
        <w:rPr>
          <w:rFonts w:cs="Calibri"/>
        </w:rPr>
        <w:t> </w:t>
      </w:r>
      <w:r w:rsidR="006A095A" w:rsidRPr="00AD73C8">
        <w:rPr>
          <w:rFonts w:ascii="Marianne" w:hAnsi="Marianne"/>
        </w:rPr>
        <w:t>;</w:t>
      </w:r>
      <w:r w:rsidRPr="00AD73C8">
        <w:rPr>
          <w:rFonts w:ascii="Marianne" w:hAnsi="Marianne"/>
        </w:rPr>
        <w:t xml:space="preserve"> </w:t>
      </w:r>
    </w:p>
    <w:p w:rsidR="005538C1" w:rsidRPr="00AD73C8" w:rsidRDefault="005538C1" w:rsidP="005538C1">
      <w:pPr>
        <w:numPr>
          <w:ilvl w:val="0"/>
          <w:numId w:val="10"/>
        </w:numPr>
        <w:jc w:val="both"/>
        <w:rPr>
          <w:rFonts w:ascii="Marianne" w:hAnsi="Marianne"/>
        </w:rPr>
      </w:pPr>
      <w:r w:rsidRPr="00AD73C8">
        <w:rPr>
          <w:rFonts w:ascii="Marianne" w:hAnsi="Marianne"/>
        </w:rPr>
        <w:lastRenderedPageBreak/>
        <w:t xml:space="preserve">les modalités de récupération des éventuelles surcompensations et les moyens d’éviter ces surcompensations. </w:t>
      </w:r>
    </w:p>
    <w:p w:rsidR="005538C1" w:rsidRPr="00AD73C8" w:rsidRDefault="005538C1" w:rsidP="005538C1">
      <w:pPr>
        <w:spacing w:after="0"/>
        <w:jc w:val="both"/>
        <w:rPr>
          <w:rFonts w:ascii="Marianne" w:hAnsi="Marianne"/>
        </w:rPr>
      </w:pPr>
      <w:r w:rsidRPr="00AD73C8">
        <w:rPr>
          <w:rFonts w:ascii="Marianne" w:hAnsi="Marianne"/>
        </w:rPr>
        <w:t xml:space="preserve">La décision et l’encadrement </w:t>
      </w:r>
      <w:r w:rsidR="006A095A" w:rsidRPr="00AD73C8">
        <w:rPr>
          <w:rFonts w:ascii="Marianne" w:hAnsi="Marianne"/>
        </w:rPr>
        <w:t>«</w:t>
      </w:r>
      <w:r w:rsidR="006A095A" w:rsidRPr="00AD73C8">
        <w:rPr>
          <w:rFonts w:cs="Calibri"/>
        </w:rPr>
        <w:t> </w:t>
      </w:r>
      <w:r w:rsidR="00852E50" w:rsidRPr="00AD73C8">
        <w:rPr>
          <w:rFonts w:ascii="Marianne" w:hAnsi="Marianne"/>
        </w:rPr>
        <w:t>Almunia</w:t>
      </w:r>
      <w:r w:rsidR="006A095A" w:rsidRPr="00AD73C8">
        <w:rPr>
          <w:rFonts w:cs="Calibri"/>
        </w:rPr>
        <w:t> </w:t>
      </w:r>
      <w:r w:rsidR="006A095A" w:rsidRPr="00AD73C8">
        <w:rPr>
          <w:rFonts w:ascii="Marianne" w:hAnsi="Marianne" w:cs="Marianne"/>
        </w:rPr>
        <w:t>»</w:t>
      </w:r>
      <w:r w:rsidRPr="00AD73C8">
        <w:rPr>
          <w:rFonts w:ascii="Marianne" w:hAnsi="Marianne"/>
        </w:rPr>
        <w:t xml:space="preserve"> laissent aux Etats membre</w:t>
      </w:r>
      <w:r w:rsidR="006A095A" w:rsidRPr="00AD73C8">
        <w:rPr>
          <w:rFonts w:ascii="Marianne" w:hAnsi="Marianne"/>
        </w:rPr>
        <w:t>s</w:t>
      </w:r>
      <w:r w:rsidRPr="00AD73C8">
        <w:rPr>
          <w:rFonts w:ascii="Marianne" w:hAnsi="Marianne"/>
        </w:rPr>
        <w:t xml:space="preserve"> la liberté de déterminer les formes que peut prendre le mandat en droit interne</w:t>
      </w:r>
      <w:r w:rsidR="006A68DB" w:rsidRPr="00AD73C8">
        <w:rPr>
          <w:rFonts w:ascii="Marianne" w:hAnsi="Marianne"/>
        </w:rPr>
        <w:t xml:space="preserve"> (de nature législative, réglementaire ou conventionnelle)</w:t>
      </w:r>
      <w:r w:rsidRPr="00AD73C8">
        <w:rPr>
          <w:rFonts w:ascii="Marianne" w:hAnsi="Marianne"/>
        </w:rPr>
        <w:t>, pourvu qu’il contienne les informations listées ci-avant.</w:t>
      </w:r>
    </w:p>
    <w:p w:rsidR="00C211FC" w:rsidRPr="00AD73C8" w:rsidRDefault="00F277F9" w:rsidP="009027A0">
      <w:pPr>
        <w:jc w:val="both"/>
        <w:rPr>
          <w:rFonts w:ascii="Marianne" w:hAnsi="Marianne"/>
        </w:rPr>
      </w:pPr>
      <w:r w:rsidRPr="00AD73C8">
        <w:rPr>
          <w:rFonts w:ascii="Marianne" w:hAnsi="Marianne"/>
        </w:rPr>
        <w:t>Pour l</w:t>
      </w:r>
      <w:r w:rsidR="008A4099" w:rsidRPr="00AD73C8">
        <w:rPr>
          <w:rFonts w:ascii="Marianne" w:hAnsi="Marianne"/>
        </w:rPr>
        <w:t xml:space="preserve">’exécution </w:t>
      </w:r>
      <w:r w:rsidR="00F27B66" w:rsidRPr="00AD73C8">
        <w:rPr>
          <w:rFonts w:ascii="Marianne" w:hAnsi="Marianne"/>
        </w:rPr>
        <w:t xml:space="preserve">de </w:t>
      </w:r>
      <w:r w:rsidRPr="00AD73C8">
        <w:rPr>
          <w:rFonts w:ascii="Marianne" w:hAnsi="Marianne"/>
        </w:rPr>
        <w:t>SIEG locaux,</w:t>
      </w:r>
      <w:r w:rsidR="008A4099" w:rsidRPr="00AD73C8">
        <w:rPr>
          <w:rFonts w:ascii="Marianne" w:hAnsi="Marianne"/>
        </w:rPr>
        <w:t xml:space="preserve"> plusieurs modes </w:t>
      </w:r>
      <w:r w:rsidR="00F00364" w:rsidRPr="00AD73C8">
        <w:rPr>
          <w:rFonts w:ascii="Marianne" w:hAnsi="Marianne"/>
        </w:rPr>
        <w:t>de gesti</w:t>
      </w:r>
      <w:r w:rsidR="00E1229C" w:rsidRPr="00AD73C8">
        <w:rPr>
          <w:rFonts w:ascii="Marianne" w:hAnsi="Marianne"/>
        </w:rPr>
        <w:t>on</w:t>
      </w:r>
      <w:r w:rsidR="008A4099" w:rsidRPr="00AD73C8">
        <w:rPr>
          <w:rFonts w:ascii="Marianne" w:hAnsi="Marianne"/>
        </w:rPr>
        <w:t xml:space="preserve"> s’offrent aux collectivités territoriales</w:t>
      </w:r>
      <w:r w:rsidR="006A68DB" w:rsidRPr="00AD73C8">
        <w:rPr>
          <w:rFonts w:cs="Calibri"/>
        </w:rPr>
        <w:t> </w:t>
      </w:r>
      <w:r w:rsidR="006A68DB" w:rsidRPr="00AD73C8">
        <w:rPr>
          <w:rFonts w:ascii="Marianne" w:hAnsi="Marianne"/>
        </w:rPr>
        <w:t>:</w:t>
      </w:r>
    </w:p>
    <w:p w:rsidR="00AE4D7B" w:rsidRPr="00AD73C8" w:rsidRDefault="00AE4D7B" w:rsidP="009027A0">
      <w:pPr>
        <w:jc w:val="both"/>
        <w:rPr>
          <w:rFonts w:ascii="Marianne" w:hAnsi="Marianne"/>
        </w:rPr>
      </w:pPr>
      <w:r w:rsidRPr="00AD73C8">
        <w:rPr>
          <w:rFonts w:ascii="Marianne" w:hAnsi="Marianne"/>
        </w:rPr>
        <w:t>La collectivité organisatrice peu</w:t>
      </w:r>
      <w:r w:rsidR="00F27B66" w:rsidRPr="00AD73C8">
        <w:rPr>
          <w:rFonts w:ascii="Marianne" w:hAnsi="Marianne"/>
        </w:rPr>
        <w:t xml:space="preserve">t </w:t>
      </w:r>
      <w:r w:rsidR="00C211FC" w:rsidRPr="00AD73C8">
        <w:rPr>
          <w:rFonts w:ascii="Marianne" w:hAnsi="Marianne"/>
        </w:rPr>
        <w:t xml:space="preserve">ainsi </w:t>
      </w:r>
      <w:r w:rsidR="00F27B66" w:rsidRPr="00AD73C8">
        <w:rPr>
          <w:rFonts w:ascii="Marianne" w:hAnsi="Marianne"/>
        </w:rPr>
        <w:t xml:space="preserve">décider de gérer elle-même un SIEG </w:t>
      </w:r>
      <w:r w:rsidR="00F27B66" w:rsidRPr="00AD73C8">
        <w:rPr>
          <w:rFonts w:ascii="Marianne" w:hAnsi="Marianne"/>
          <w:b/>
        </w:rPr>
        <w:t>en régie ou en quasi</w:t>
      </w:r>
      <w:r w:rsidR="006A095A" w:rsidRPr="00AD73C8">
        <w:rPr>
          <w:rFonts w:ascii="Marianne" w:hAnsi="Marianne"/>
          <w:b/>
        </w:rPr>
        <w:t>-</w:t>
      </w:r>
      <w:r w:rsidR="00F27B66" w:rsidRPr="00AD73C8">
        <w:rPr>
          <w:rFonts w:ascii="Marianne" w:hAnsi="Marianne"/>
          <w:b/>
        </w:rPr>
        <w:t>régie</w:t>
      </w:r>
      <w:r w:rsidR="006A095A" w:rsidRPr="00AD73C8">
        <w:rPr>
          <w:rStyle w:val="Appelnotedebasdep"/>
          <w:rFonts w:ascii="Marianne" w:hAnsi="Marianne"/>
          <w:b/>
        </w:rPr>
        <w:footnoteReference w:id="8"/>
      </w:r>
      <w:r w:rsidR="00613AB5" w:rsidRPr="00AD73C8">
        <w:rPr>
          <w:rFonts w:ascii="Marianne" w:hAnsi="Marianne"/>
        </w:rPr>
        <w:t>.</w:t>
      </w:r>
    </w:p>
    <w:p w:rsidR="00F27B66" w:rsidRPr="00AD73C8" w:rsidRDefault="0096489A" w:rsidP="00D00BDD">
      <w:pPr>
        <w:spacing w:after="0"/>
        <w:jc w:val="both"/>
        <w:rPr>
          <w:rFonts w:ascii="Marianne" w:hAnsi="Marianne"/>
        </w:rPr>
      </w:pPr>
      <w:r w:rsidRPr="00AD73C8">
        <w:rPr>
          <w:rFonts w:ascii="Marianne" w:hAnsi="Marianne"/>
        </w:rPr>
        <w:t>Elle peut également décider d</w:t>
      </w:r>
      <w:r w:rsidR="00F27B66" w:rsidRPr="00AD73C8">
        <w:rPr>
          <w:rFonts w:ascii="Marianne" w:hAnsi="Marianne"/>
        </w:rPr>
        <w:t xml:space="preserve">e faire appel à un prestataire extérieur dans un </w:t>
      </w:r>
      <w:r w:rsidR="00F27B66" w:rsidRPr="00AD73C8">
        <w:rPr>
          <w:rFonts w:ascii="Marianne" w:hAnsi="Marianne"/>
          <w:b/>
        </w:rPr>
        <w:t>cadre contractuel</w:t>
      </w:r>
      <w:r w:rsidR="00F27B66" w:rsidRPr="00AD73C8">
        <w:rPr>
          <w:rFonts w:cs="Calibri"/>
        </w:rPr>
        <w:t> </w:t>
      </w:r>
      <w:r w:rsidR="00F27B66" w:rsidRPr="00AD73C8">
        <w:rPr>
          <w:rFonts w:ascii="Marianne" w:hAnsi="Marianne"/>
        </w:rPr>
        <w:t>:</w:t>
      </w:r>
    </w:p>
    <w:p w:rsidR="009027A0" w:rsidRPr="00AD73C8" w:rsidRDefault="009027A0" w:rsidP="00D00BDD">
      <w:pPr>
        <w:spacing w:after="0"/>
        <w:jc w:val="both"/>
        <w:rPr>
          <w:rFonts w:ascii="Marianne" w:hAnsi="Marianne"/>
        </w:rPr>
      </w:pPr>
    </w:p>
    <w:p w:rsidR="00134EF5" w:rsidRPr="00AD73C8" w:rsidRDefault="00134EF5" w:rsidP="00D00BDD">
      <w:pPr>
        <w:numPr>
          <w:ilvl w:val="0"/>
          <w:numId w:val="10"/>
        </w:numPr>
        <w:spacing w:after="0"/>
        <w:jc w:val="both"/>
        <w:rPr>
          <w:rFonts w:ascii="Marianne" w:hAnsi="Marianne"/>
        </w:rPr>
      </w:pPr>
      <w:r w:rsidRPr="00AD73C8">
        <w:rPr>
          <w:rFonts w:ascii="Marianne" w:hAnsi="Marianne"/>
        </w:rPr>
        <w:t>en achetant la prestation d</w:t>
      </w:r>
      <w:r w:rsidR="0096290F" w:rsidRPr="00AD73C8">
        <w:rPr>
          <w:rFonts w:ascii="Marianne" w:hAnsi="Marianne"/>
        </w:rPr>
        <w:t>e</w:t>
      </w:r>
      <w:r w:rsidRPr="00AD73C8">
        <w:rPr>
          <w:rFonts w:ascii="Marianne" w:hAnsi="Marianne"/>
        </w:rPr>
        <w:t xml:space="preserve"> SIEG en contrepartie d’un prix dans le cadre d’un </w:t>
      </w:r>
      <w:r w:rsidRPr="00AD73C8">
        <w:rPr>
          <w:rFonts w:ascii="Marianne" w:hAnsi="Marianne"/>
          <w:b/>
        </w:rPr>
        <w:t>marché public</w:t>
      </w:r>
      <w:r w:rsidRPr="00AD73C8">
        <w:rPr>
          <w:rFonts w:ascii="Marianne" w:hAnsi="Marianne"/>
        </w:rPr>
        <w:t xml:space="preserve">, </w:t>
      </w:r>
      <w:r w:rsidR="00DB437A" w:rsidRPr="00AD73C8">
        <w:rPr>
          <w:rFonts w:ascii="Marianne" w:hAnsi="Marianne"/>
        </w:rPr>
        <w:t>passé conformément aux règl</w:t>
      </w:r>
      <w:r w:rsidR="005A52CA" w:rsidRPr="00AD73C8">
        <w:rPr>
          <w:rFonts w:ascii="Marianne" w:hAnsi="Marianne"/>
        </w:rPr>
        <w:t xml:space="preserve">es </w:t>
      </w:r>
      <w:r w:rsidR="00231CE5" w:rsidRPr="00AD73C8">
        <w:rPr>
          <w:rFonts w:ascii="Marianne" w:hAnsi="Marianne"/>
        </w:rPr>
        <w:t xml:space="preserve">de droit interne applicables en la matière </w:t>
      </w:r>
      <w:r w:rsidR="002013BC" w:rsidRPr="00AD73C8">
        <w:rPr>
          <w:rFonts w:ascii="Marianne" w:hAnsi="Marianne"/>
        </w:rPr>
        <w:t>;</w:t>
      </w:r>
    </w:p>
    <w:p w:rsidR="006A68DB" w:rsidRPr="00AD73C8" w:rsidRDefault="006A68DB" w:rsidP="006A68DB">
      <w:pPr>
        <w:spacing w:after="0"/>
        <w:ind w:left="720"/>
        <w:jc w:val="both"/>
        <w:rPr>
          <w:rFonts w:ascii="Marianne" w:hAnsi="Marianne"/>
        </w:rPr>
      </w:pPr>
    </w:p>
    <w:p w:rsidR="006A68DB" w:rsidRPr="00AD73C8" w:rsidRDefault="0096290F" w:rsidP="006A68DB">
      <w:pPr>
        <w:spacing w:after="0"/>
        <w:ind w:left="720"/>
        <w:jc w:val="both"/>
        <w:rPr>
          <w:rFonts w:ascii="Marianne" w:hAnsi="Marianne"/>
        </w:rPr>
      </w:pPr>
      <w:r w:rsidRPr="00AD73C8">
        <w:rPr>
          <w:rFonts w:ascii="Marianne" w:hAnsi="Marianne"/>
        </w:rPr>
        <w:t xml:space="preserve">en transférant le risque d’exploitation du SIEG à une entreprise dans le cadre </w:t>
      </w:r>
      <w:r w:rsidR="00944BBE" w:rsidRPr="00AD73C8">
        <w:rPr>
          <w:rFonts w:ascii="Marianne" w:hAnsi="Marianne"/>
        </w:rPr>
        <w:t xml:space="preserve">d’un contrat de concession </w:t>
      </w:r>
      <w:r w:rsidR="006A095A" w:rsidRPr="00AD73C8">
        <w:rPr>
          <w:rFonts w:ascii="Marianne" w:hAnsi="Marianne"/>
        </w:rPr>
        <w:t xml:space="preserve">tel que </w:t>
      </w:r>
      <w:r w:rsidR="00944BBE" w:rsidRPr="00AD73C8">
        <w:rPr>
          <w:rFonts w:ascii="Marianne" w:hAnsi="Marianne"/>
        </w:rPr>
        <w:t>défini dans l’ordonnance n°</w:t>
      </w:r>
      <w:r w:rsidR="006A095A" w:rsidRPr="00AD73C8">
        <w:rPr>
          <w:rFonts w:ascii="Marianne" w:hAnsi="Marianne"/>
        </w:rPr>
        <w:t xml:space="preserve"> </w:t>
      </w:r>
      <w:r w:rsidR="00944BBE" w:rsidRPr="00AD73C8">
        <w:rPr>
          <w:rFonts w:ascii="Marianne" w:hAnsi="Marianne"/>
        </w:rPr>
        <w:t xml:space="preserve">2016-65 du 29 janvier 2016 </w:t>
      </w:r>
      <w:r w:rsidR="006A095A" w:rsidRPr="00AD73C8">
        <w:rPr>
          <w:rFonts w:ascii="Marianne" w:hAnsi="Marianne"/>
        </w:rPr>
        <w:t xml:space="preserve">et </w:t>
      </w:r>
      <w:r w:rsidRPr="00AD73C8">
        <w:rPr>
          <w:rFonts w:ascii="Marianne" w:hAnsi="Marianne"/>
        </w:rPr>
        <w:t>passé dans le cadre de la procédure prévue aux art</w:t>
      </w:r>
      <w:r w:rsidR="00DB437A" w:rsidRPr="00AD73C8">
        <w:rPr>
          <w:rFonts w:ascii="Marianne" w:hAnsi="Marianne"/>
        </w:rPr>
        <w:t>icles L.</w:t>
      </w:r>
      <w:r w:rsidR="00944BBE" w:rsidRPr="00AD73C8">
        <w:rPr>
          <w:rFonts w:ascii="Marianne" w:hAnsi="Marianne"/>
        </w:rPr>
        <w:t>1410-1 et suivants du CGCT</w:t>
      </w:r>
      <w:r w:rsidR="00944BBE" w:rsidRPr="00AD73C8">
        <w:rPr>
          <w:rFonts w:cs="Calibri"/>
        </w:rPr>
        <w:t> </w:t>
      </w:r>
      <w:r w:rsidR="00944BBE" w:rsidRPr="00AD73C8">
        <w:rPr>
          <w:rFonts w:ascii="Marianne" w:hAnsi="Marianne"/>
        </w:rPr>
        <w:t>;</w:t>
      </w:r>
      <w:r w:rsidR="00944BBE" w:rsidRPr="00AD73C8" w:rsidDel="00944BBE">
        <w:rPr>
          <w:rFonts w:ascii="Marianne" w:hAnsi="Marianne"/>
        </w:rPr>
        <w:t xml:space="preserve"> </w:t>
      </w:r>
    </w:p>
    <w:p w:rsidR="00F56C79" w:rsidRPr="00AD73C8" w:rsidRDefault="00464E23" w:rsidP="006A68DB">
      <w:pPr>
        <w:numPr>
          <w:ilvl w:val="0"/>
          <w:numId w:val="10"/>
        </w:numPr>
        <w:spacing w:after="0"/>
        <w:jc w:val="both"/>
        <w:rPr>
          <w:rFonts w:ascii="Marianne" w:hAnsi="Marianne"/>
        </w:rPr>
      </w:pPr>
      <w:r w:rsidRPr="00AD73C8">
        <w:rPr>
          <w:rFonts w:ascii="Marianne" w:hAnsi="Marianne"/>
        </w:rPr>
        <w:t xml:space="preserve">en attribuant une subvention </w:t>
      </w:r>
      <w:r w:rsidR="0020772E" w:rsidRPr="00AD73C8">
        <w:rPr>
          <w:rFonts w:ascii="Marianne" w:hAnsi="Marianne"/>
        </w:rPr>
        <w:t>conformément aux règles de droit national et répondant au cadre fixé par les dispositions du CGCT</w:t>
      </w:r>
      <w:r w:rsidR="0020772E" w:rsidRPr="00AD73C8">
        <w:rPr>
          <w:rStyle w:val="Appelnotedebasdep"/>
          <w:rFonts w:ascii="Marianne" w:hAnsi="Marianne"/>
        </w:rPr>
        <w:footnoteReference w:id="9"/>
      </w:r>
      <w:r w:rsidR="0020772E" w:rsidRPr="00AD73C8">
        <w:rPr>
          <w:rFonts w:ascii="Marianne" w:hAnsi="Marianne"/>
        </w:rPr>
        <w:t>.</w:t>
      </w:r>
    </w:p>
    <w:p w:rsidR="00F56C79" w:rsidRPr="00AD73C8" w:rsidRDefault="00F56C79" w:rsidP="00F56C79">
      <w:pPr>
        <w:spacing w:after="0"/>
        <w:jc w:val="both"/>
        <w:rPr>
          <w:rFonts w:ascii="Marianne" w:hAnsi="Marianne"/>
        </w:rPr>
      </w:pPr>
    </w:p>
    <w:p w:rsidR="00BC278C" w:rsidRPr="00AD73C8" w:rsidRDefault="0020772E" w:rsidP="00F56C79">
      <w:pPr>
        <w:spacing w:after="0"/>
        <w:jc w:val="both"/>
        <w:rPr>
          <w:rFonts w:ascii="Marianne" w:hAnsi="Marianne"/>
        </w:rPr>
      </w:pPr>
      <w:r w:rsidRPr="00AD73C8">
        <w:rPr>
          <w:rFonts w:ascii="Marianne" w:hAnsi="Marianne"/>
        </w:rPr>
        <w:t>U</w:t>
      </w:r>
      <w:r w:rsidR="00464E23" w:rsidRPr="00AD73C8">
        <w:rPr>
          <w:rFonts w:ascii="Marianne" w:hAnsi="Marianne"/>
        </w:rPr>
        <w:t xml:space="preserve">ne </w:t>
      </w:r>
      <w:r w:rsidR="00464E23" w:rsidRPr="00AD73C8">
        <w:rPr>
          <w:rFonts w:ascii="Marianne" w:hAnsi="Marianne"/>
          <w:b/>
        </w:rPr>
        <w:t xml:space="preserve">convention pluriannuelle d’objectifs </w:t>
      </w:r>
      <w:r w:rsidRPr="00AD73C8">
        <w:rPr>
          <w:rFonts w:ascii="Marianne" w:hAnsi="Marianne"/>
        </w:rPr>
        <w:t xml:space="preserve">s’avère le </w:t>
      </w:r>
      <w:r w:rsidR="0013070F" w:rsidRPr="00AD73C8">
        <w:rPr>
          <w:rFonts w:ascii="Marianne" w:hAnsi="Marianne"/>
          <w:b/>
        </w:rPr>
        <w:t>plus souvent nécessaire</w:t>
      </w:r>
      <w:r w:rsidR="0013070F" w:rsidRPr="00AD73C8">
        <w:rPr>
          <w:rFonts w:ascii="Marianne" w:hAnsi="Marianne"/>
        </w:rPr>
        <w:t>. Les</w:t>
      </w:r>
      <w:r w:rsidR="00BD4960" w:rsidRPr="00AD73C8">
        <w:rPr>
          <w:rFonts w:ascii="Marianne" w:hAnsi="Marianne"/>
        </w:rPr>
        <w:t xml:space="preserve"> collectivités publiques peuvent en effet approuver et financer des actions émanant du secteur associatif dont elles reconnaissent qu’elles répondent à </w:t>
      </w:r>
      <w:r w:rsidR="009F3C0D" w:rsidRPr="00AD73C8">
        <w:rPr>
          <w:rFonts w:ascii="Marianne" w:hAnsi="Marianne"/>
        </w:rPr>
        <w:t>une finalité d’intérêt général</w:t>
      </w:r>
      <w:r w:rsidR="0022646F" w:rsidRPr="00AD73C8">
        <w:rPr>
          <w:rStyle w:val="Appelnotedebasdep"/>
          <w:rFonts w:ascii="Marianne" w:hAnsi="Marianne"/>
        </w:rPr>
        <w:footnoteReference w:id="10"/>
      </w:r>
      <w:r w:rsidR="009F3C0D" w:rsidRPr="00AD73C8">
        <w:rPr>
          <w:rFonts w:ascii="Marianne" w:hAnsi="Marianne"/>
        </w:rPr>
        <w:t>.</w:t>
      </w:r>
      <w:r w:rsidR="0022646F" w:rsidRPr="00AD73C8">
        <w:rPr>
          <w:rFonts w:ascii="Marianne" w:hAnsi="Marianne"/>
        </w:rPr>
        <w:t xml:space="preserve"> </w:t>
      </w:r>
      <w:r w:rsidR="00625FA0" w:rsidRPr="00AD73C8">
        <w:rPr>
          <w:rFonts w:ascii="Marianne" w:hAnsi="Marianne"/>
        </w:rPr>
        <w:t xml:space="preserve"> </w:t>
      </w:r>
    </w:p>
    <w:p w:rsidR="00134EF5" w:rsidRPr="00AD73C8" w:rsidRDefault="00134EF5" w:rsidP="00F277F9">
      <w:pPr>
        <w:spacing w:after="0"/>
        <w:jc w:val="both"/>
        <w:rPr>
          <w:rFonts w:ascii="Marianne" w:hAnsi="Marianne"/>
          <w:b/>
        </w:rPr>
      </w:pPr>
    </w:p>
    <w:p w:rsidR="00CF3EE3" w:rsidRPr="00AD73C8" w:rsidRDefault="0013070F" w:rsidP="004D5494">
      <w:pPr>
        <w:jc w:val="both"/>
        <w:rPr>
          <w:rFonts w:ascii="Marianne" w:hAnsi="Marianne"/>
          <w:b/>
          <w:smallCaps/>
        </w:rPr>
      </w:pPr>
      <w:r w:rsidRPr="00AD73C8">
        <w:rPr>
          <w:rFonts w:ascii="Marianne" w:hAnsi="Marianne"/>
          <w:b/>
          <w:smallCaps/>
        </w:rPr>
        <w:t>IV- La compensation pour mission de service public</w:t>
      </w:r>
    </w:p>
    <w:p w:rsidR="00FA6373" w:rsidRPr="00AD73C8" w:rsidRDefault="0013070F" w:rsidP="00622657">
      <w:pPr>
        <w:jc w:val="both"/>
        <w:rPr>
          <w:rFonts w:ascii="Marianne" w:hAnsi="Marianne"/>
        </w:rPr>
      </w:pPr>
      <w:r w:rsidRPr="00AD73C8">
        <w:rPr>
          <w:rFonts w:ascii="Marianne" w:hAnsi="Marianne"/>
        </w:rPr>
        <w:t xml:space="preserve">La compensation </w:t>
      </w:r>
      <w:r w:rsidR="00F56C79" w:rsidRPr="00AD73C8">
        <w:rPr>
          <w:rFonts w:ascii="Marianne" w:hAnsi="Marianne"/>
        </w:rPr>
        <w:t xml:space="preserve">de service public </w:t>
      </w:r>
      <w:r w:rsidRPr="00AD73C8">
        <w:rPr>
          <w:rFonts w:ascii="Marianne" w:hAnsi="Marianne"/>
        </w:rPr>
        <w:t>est l’</w:t>
      </w:r>
      <w:r w:rsidRPr="00AD73C8">
        <w:rPr>
          <w:rFonts w:ascii="Marianne" w:hAnsi="Marianne"/>
          <w:b/>
        </w:rPr>
        <w:t xml:space="preserve">aide versée par une collectivité publique à une entreprise </w:t>
      </w:r>
      <w:r w:rsidR="006A68DB" w:rsidRPr="00AD73C8">
        <w:rPr>
          <w:rFonts w:ascii="Marianne" w:hAnsi="Marianne"/>
          <w:b/>
        </w:rPr>
        <w:t xml:space="preserve">qui vise à couvrir les coûts encourus par cette dernière du fait des obligations de service public qu’elle assume </w:t>
      </w:r>
      <w:r w:rsidRPr="00AD73C8">
        <w:rPr>
          <w:rFonts w:ascii="Marianne" w:hAnsi="Marianne"/>
          <w:b/>
        </w:rPr>
        <w:t>au titre d’une mission de SIEG</w:t>
      </w:r>
      <w:r w:rsidRPr="00AD73C8">
        <w:rPr>
          <w:rFonts w:ascii="Marianne" w:hAnsi="Marianne"/>
        </w:rPr>
        <w:t xml:space="preserve">. Lorsque la condition d’équivalence entre les financements accordés et les coûts exposés est </w:t>
      </w:r>
      <w:r w:rsidRPr="00AD73C8">
        <w:rPr>
          <w:rFonts w:ascii="Marianne" w:hAnsi="Marianne"/>
        </w:rPr>
        <w:lastRenderedPageBreak/>
        <w:t>rempl</w:t>
      </w:r>
      <w:r w:rsidR="00FA6373" w:rsidRPr="00AD73C8">
        <w:rPr>
          <w:rFonts w:ascii="Marianne" w:hAnsi="Marianne"/>
        </w:rPr>
        <w:t>ie, la compensation représente la contrepartie des prestations nécessaires pour exécuter les obligations de service public.</w:t>
      </w:r>
    </w:p>
    <w:p w:rsidR="008E6394" w:rsidRPr="00AD73C8" w:rsidRDefault="00E36835" w:rsidP="00622657">
      <w:pPr>
        <w:jc w:val="both"/>
        <w:rPr>
          <w:rFonts w:ascii="Marianne" w:hAnsi="Marianne"/>
        </w:rPr>
      </w:pPr>
      <w:r w:rsidRPr="00AD73C8">
        <w:rPr>
          <w:rFonts w:ascii="Marianne" w:hAnsi="Marianne"/>
        </w:rPr>
        <w:t>Il s’agit donc d’un</w:t>
      </w:r>
      <w:r w:rsidR="0035743C" w:rsidRPr="00AD73C8">
        <w:rPr>
          <w:rFonts w:ascii="Marianne" w:hAnsi="Marianne"/>
        </w:rPr>
        <w:t xml:space="preserve">e mise à disposition de ressources publiques, </w:t>
      </w:r>
      <w:r w:rsidR="0035743C" w:rsidRPr="00AD73C8">
        <w:rPr>
          <w:rFonts w:ascii="Marianne" w:hAnsi="Marianne"/>
          <w:b/>
        </w:rPr>
        <w:t>effectuée soit directement par les pouvoirs publics, soit par l’interm</w:t>
      </w:r>
      <w:r w:rsidR="00622657" w:rsidRPr="00AD73C8">
        <w:rPr>
          <w:rFonts w:ascii="Marianne" w:hAnsi="Marianne"/>
          <w:b/>
        </w:rPr>
        <w:t>édiaire d’entreprises publiques</w:t>
      </w:r>
      <w:r w:rsidR="00622657" w:rsidRPr="00AD73C8">
        <w:rPr>
          <w:rFonts w:ascii="Marianne" w:hAnsi="Marianne"/>
        </w:rPr>
        <w:t>,</w:t>
      </w:r>
      <w:r w:rsidR="00FA6373" w:rsidRPr="00AD73C8">
        <w:rPr>
          <w:rFonts w:ascii="Marianne" w:hAnsi="Marianne"/>
        </w:rPr>
        <w:t xml:space="preserve"> et</w:t>
      </w:r>
      <w:r w:rsidR="00622657" w:rsidRPr="00AD73C8">
        <w:rPr>
          <w:rFonts w:ascii="Marianne" w:hAnsi="Marianne"/>
        </w:rPr>
        <w:t xml:space="preserve"> qui peut prendre de nombreuses formes</w:t>
      </w:r>
      <w:r w:rsidR="00622657" w:rsidRPr="00AD73C8">
        <w:rPr>
          <w:rFonts w:cs="Calibri"/>
        </w:rPr>
        <w:t> </w:t>
      </w:r>
      <w:r w:rsidR="00622657" w:rsidRPr="00AD73C8">
        <w:rPr>
          <w:rFonts w:ascii="Marianne" w:hAnsi="Marianne"/>
        </w:rPr>
        <w:t>: subvention</w:t>
      </w:r>
      <w:r w:rsidR="00F56C79" w:rsidRPr="00AD73C8">
        <w:rPr>
          <w:rFonts w:ascii="Marianne" w:hAnsi="Marianne"/>
        </w:rPr>
        <w:t>s</w:t>
      </w:r>
      <w:r w:rsidR="00622657" w:rsidRPr="00AD73C8">
        <w:rPr>
          <w:rFonts w:ascii="Marianne" w:hAnsi="Marianne"/>
        </w:rPr>
        <w:t xml:space="preserve"> directe</w:t>
      </w:r>
      <w:r w:rsidR="00F56C79" w:rsidRPr="00AD73C8">
        <w:rPr>
          <w:rFonts w:ascii="Marianne" w:hAnsi="Marianne"/>
        </w:rPr>
        <w:t>s</w:t>
      </w:r>
      <w:r w:rsidR="00622657" w:rsidRPr="00AD73C8">
        <w:rPr>
          <w:rFonts w:ascii="Marianne" w:hAnsi="Marianne"/>
        </w:rPr>
        <w:t>, crédit</w:t>
      </w:r>
      <w:r w:rsidR="00F56C79" w:rsidRPr="00AD73C8">
        <w:rPr>
          <w:rFonts w:ascii="Marianne" w:hAnsi="Marianne"/>
        </w:rPr>
        <w:t>s</w:t>
      </w:r>
      <w:r w:rsidR="00622657" w:rsidRPr="00AD73C8">
        <w:rPr>
          <w:rFonts w:ascii="Marianne" w:hAnsi="Marianne"/>
        </w:rPr>
        <w:t xml:space="preserve"> d’impôts ou allègement</w:t>
      </w:r>
      <w:r w:rsidR="00F56C79" w:rsidRPr="00AD73C8">
        <w:rPr>
          <w:rFonts w:ascii="Marianne" w:hAnsi="Marianne"/>
        </w:rPr>
        <w:t xml:space="preserve">s </w:t>
      </w:r>
      <w:r w:rsidR="00622657" w:rsidRPr="00AD73C8">
        <w:rPr>
          <w:rFonts w:ascii="Marianne" w:hAnsi="Marianne"/>
        </w:rPr>
        <w:t>fisca</w:t>
      </w:r>
      <w:r w:rsidR="00F56C79" w:rsidRPr="00AD73C8">
        <w:rPr>
          <w:rFonts w:ascii="Marianne" w:hAnsi="Marianne"/>
        </w:rPr>
        <w:t>ux</w:t>
      </w:r>
      <w:r w:rsidR="00622657" w:rsidRPr="00AD73C8">
        <w:rPr>
          <w:rFonts w:ascii="Marianne" w:hAnsi="Marianne"/>
        </w:rPr>
        <w:t>, avantage</w:t>
      </w:r>
      <w:r w:rsidR="00F56C79" w:rsidRPr="00AD73C8">
        <w:rPr>
          <w:rFonts w:ascii="Marianne" w:hAnsi="Marianne"/>
        </w:rPr>
        <w:t>s</w:t>
      </w:r>
      <w:r w:rsidR="00622657" w:rsidRPr="00AD73C8">
        <w:rPr>
          <w:rFonts w:ascii="Marianne" w:hAnsi="Marianne"/>
        </w:rPr>
        <w:t xml:space="preserve"> en nature, abandon</w:t>
      </w:r>
      <w:r w:rsidR="00F56C79" w:rsidRPr="00AD73C8">
        <w:rPr>
          <w:rFonts w:ascii="Marianne" w:hAnsi="Marianne"/>
        </w:rPr>
        <w:t>s</w:t>
      </w:r>
      <w:r w:rsidR="00622657" w:rsidRPr="00AD73C8">
        <w:rPr>
          <w:rFonts w:ascii="Marianne" w:hAnsi="Marianne"/>
        </w:rPr>
        <w:t xml:space="preserve"> de ressources d’Etat (fait pour une collectivité de facturer un service </w:t>
      </w:r>
      <w:r w:rsidR="00B23C18" w:rsidRPr="00AD73C8">
        <w:rPr>
          <w:rFonts w:ascii="Marianne" w:hAnsi="Marianne"/>
        </w:rPr>
        <w:t>à un prix inférieur à celui</w:t>
      </w:r>
      <w:r w:rsidR="00622657" w:rsidRPr="00AD73C8">
        <w:rPr>
          <w:rFonts w:ascii="Marianne" w:hAnsi="Marianne"/>
        </w:rPr>
        <w:t xml:space="preserve"> du marché), octroi</w:t>
      </w:r>
      <w:r w:rsidR="00F56C79" w:rsidRPr="00AD73C8">
        <w:rPr>
          <w:rFonts w:ascii="Marianne" w:hAnsi="Marianne"/>
        </w:rPr>
        <w:t>s</w:t>
      </w:r>
      <w:r w:rsidR="00622657" w:rsidRPr="00AD73C8">
        <w:rPr>
          <w:rFonts w:ascii="Marianne" w:hAnsi="Marianne"/>
        </w:rPr>
        <w:t xml:space="preserve"> sans mise en concurrence préalable de licences équivalant à des titres d’occupation ou d’utilisa</w:t>
      </w:r>
      <w:r w:rsidR="00F56C79" w:rsidRPr="00AD73C8">
        <w:rPr>
          <w:rFonts w:ascii="Marianne" w:hAnsi="Marianne"/>
        </w:rPr>
        <w:t>tion du domaine public, produits</w:t>
      </w:r>
      <w:r w:rsidR="00622657" w:rsidRPr="00AD73C8">
        <w:rPr>
          <w:rFonts w:ascii="Marianne" w:hAnsi="Marianne"/>
        </w:rPr>
        <w:t xml:space="preserve"> de taxes </w:t>
      </w:r>
      <w:r w:rsidR="008E6394" w:rsidRPr="00AD73C8">
        <w:rPr>
          <w:rFonts w:ascii="Marianne" w:hAnsi="Marianne"/>
        </w:rPr>
        <w:t xml:space="preserve">parafiscales </w:t>
      </w:r>
      <w:r w:rsidR="00622657" w:rsidRPr="00AD73C8">
        <w:rPr>
          <w:rFonts w:ascii="Marianne" w:hAnsi="Marianne"/>
        </w:rPr>
        <w:t>ou cotisations</w:t>
      </w:r>
      <w:r w:rsidR="008E6394" w:rsidRPr="00AD73C8">
        <w:rPr>
          <w:rFonts w:ascii="Marianne" w:hAnsi="Marianne"/>
        </w:rPr>
        <w:t xml:space="preserve"> obligatoires</w:t>
      </w:r>
      <w:r w:rsidR="00CD6C71" w:rsidRPr="00AD73C8">
        <w:rPr>
          <w:rStyle w:val="Appelnotedebasdep"/>
          <w:rFonts w:ascii="Marianne" w:hAnsi="Marianne"/>
        </w:rPr>
        <w:footnoteReference w:id="11"/>
      </w:r>
      <w:r w:rsidR="00622657" w:rsidRPr="00AD73C8">
        <w:rPr>
          <w:rFonts w:ascii="Marianne" w:hAnsi="Marianne"/>
        </w:rPr>
        <w:t>.</w:t>
      </w:r>
    </w:p>
    <w:p w:rsidR="00622657" w:rsidRPr="00AD73C8" w:rsidRDefault="006A68DB" w:rsidP="00622657">
      <w:pPr>
        <w:jc w:val="both"/>
        <w:rPr>
          <w:rFonts w:ascii="Marianne" w:hAnsi="Marianne"/>
          <w:b/>
        </w:rPr>
      </w:pPr>
      <w:r w:rsidRPr="00AD73C8">
        <w:rPr>
          <w:rFonts w:ascii="Marianne" w:hAnsi="Marianne"/>
          <w:b/>
        </w:rPr>
        <w:sym w:font="Wingdings" w:char="F046"/>
      </w:r>
      <w:r w:rsidRPr="00AD73C8">
        <w:rPr>
          <w:rFonts w:ascii="Marianne" w:hAnsi="Marianne"/>
          <w:b/>
        </w:rPr>
        <w:t xml:space="preserve"> </w:t>
      </w:r>
      <w:r w:rsidR="008E6394" w:rsidRPr="00AD73C8">
        <w:rPr>
          <w:rFonts w:ascii="Marianne" w:hAnsi="Marianne"/>
          <w:b/>
        </w:rPr>
        <w:t>Une compensation de SIEG recouvre donc tout instrument législatif, réglementaire et administratif qui constitue un avantage octroyé à l’entreprise qui fournit le service.</w:t>
      </w:r>
      <w:r w:rsidR="00622657" w:rsidRPr="00AD73C8">
        <w:rPr>
          <w:rFonts w:ascii="Marianne" w:hAnsi="Marianne"/>
          <w:b/>
        </w:rPr>
        <w:t xml:space="preserve"> </w:t>
      </w:r>
    </w:p>
    <w:p w:rsidR="00CF10BA" w:rsidRPr="00AD73C8" w:rsidRDefault="0097245E" w:rsidP="00CF10BA">
      <w:pPr>
        <w:jc w:val="both"/>
        <w:rPr>
          <w:rFonts w:ascii="Marianne" w:hAnsi="Marianne"/>
        </w:rPr>
      </w:pPr>
      <w:r w:rsidRPr="00AD73C8">
        <w:rPr>
          <w:rFonts w:ascii="Marianne" w:hAnsi="Marianne"/>
        </w:rPr>
        <w:t xml:space="preserve">Quel que soit le cadre dans lequel s’inscrit la compensation (jurisprudence </w:t>
      </w:r>
      <w:r w:rsidRPr="00AD73C8">
        <w:rPr>
          <w:rFonts w:ascii="Marianne" w:hAnsi="Marianne"/>
          <w:i/>
        </w:rPr>
        <w:t>Altmark</w:t>
      </w:r>
      <w:r w:rsidRPr="00AD73C8">
        <w:rPr>
          <w:rFonts w:ascii="Marianne" w:hAnsi="Marianne"/>
        </w:rPr>
        <w:t xml:space="preserve"> ou paquet </w:t>
      </w:r>
      <w:r w:rsidR="00F56C79" w:rsidRPr="00AD73C8">
        <w:rPr>
          <w:rFonts w:ascii="Marianne" w:hAnsi="Marianne"/>
        </w:rPr>
        <w:t>«</w:t>
      </w:r>
      <w:r w:rsidR="00F56C79" w:rsidRPr="00AD73C8">
        <w:rPr>
          <w:rFonts w:cs="Calibri"/>
        </w:rPr>
        <w:t> </w:t>
      </w:r>
      <w:r w:rsidRPr="00AD73C8">
        <w:rPr>
          <w:rFonts w:ascii="Marianne" w:hAnsi="Marianne"/>
        </w:rPr>
        <w:t>Almunia</w:t>
      </w:r>
      <w:r w:rsidR="00F56C79" w:rsidRPr="00AD73C8">
        <w:rPr>
          <w:rFonts w:cs="Calibri"/>
        </w:rPr>
        <w:t> </w:t>
      </w:r>
      <w:r w:rsidR="00F56C79" w:rsidRPr="00AD73C8">
        <w:rPr>
          <w:rFonts w:ascii="Marianne" w:hAnsi="Marianne" w:cs="Marianne"/>
        </w:rPr>
        <w:t>»</w:t>
      </w:r>
      <w:r w:rsidR="00BB1EDA" w:rsidRPr="00AD73C8">
        <w:rPr>
          <w:rFonts w:ascii="Marianne" w:hAnsi="Marianne"/>
        </w:rPr>
        <w:t>, développés en annexe 6</w:t>
      </w:r>
      <w:r w:rsidRPr="00AD73C8">
        <w:rPr>
          <w:rFonts w:ascii="Marianne" w:hAnsi="Marianne"/>
        </w:rPr>
        <w:t xml:space="preserve">), la collectivité </w:t>
      </w:r>
      <w:r w:rsidR="008A65DB" w:rsidRPr="00AD73C8">
        <w:rPr>
          <w:rFonts w:ascii="Marianne" w:hAnsi="Marianne"/>
        </w:rPr>
        <w:t>finançant le</w:t>
      </w:r>
      <w:r w:rsidRPr="00AD73C8">
        <w:rPr>
          <w:rFonts w:ascii="Marianne" w:hAnsi="Marianne"/>
        </w:rPr>
        <w:t xml:space="preserve"> SIEG doit respecter les principes inhérents à la</w:t>
      </w:r>
      <w:r w:rsidR="006A68DB" w:rsidRPr="00AD73C8">
        <w:rPr>
          <w:rFonts w:ascii="Marianne" w:hAnsi="Marianne"/>
        </w:rPr>
        <w:t xml:space="preserve"> notion de</w:t>
      </w:r>
      <w:r w:rsidRPr="00AD73C8">
        <w:rPr>
          <w:rFonts w:ascii="Marianne" w:hAnsi="Marianne"/>
        </w:rPr>
        <w:t xml:space="preserve"> compensation de service public</w:t>
      </w:r>
      <w:r w:rsidRPr="00AD73C8">
        <w:rPr>
          <w:rFonts w:cs="Calibri"/>
        </w:rPr>
        <w:t> </w:t>
      </w:r>
      <w:r w:rsidRPr="00AD73C8">
        <w:rPr>
          <w:rFonts w:ascii="Marianne" w:hAnsi="Marianne"/>
        </w:rPr>
        <w:t xml:space="preserve">: </w:t>
      </w:r>
    </w:p>
    <w:p w:rsidR="00666855" w:rsidRPr="00AD73C8" w:rsidRDefault="00CF10BA" w:rsidP="00F56C79">
      <w:pPr>
        <w:numPr>
          <w:ilvl w:val="0"/>
          <w:numId w:val="10"/>
        </w:numPr>
        <w:ind w:left="714" w:hanging="357"/>
        <w:contextualSpacing/>
        <w:jc w:val="both"/>
        <w:rPr>
          <w:rFonts w:ascii="Marianne" w:hAnsi="Marianne"/>
        </w:rPr>
      </w:pPr>
      <w:r w:rsidRPr="00AD73C8">
        <w:rPr>
          <w:rFonts w:ascii="Marianne" w:hAnsi="Marianne"/>
          <w:b/>
        </w:rPr>
        <w:t xml:space="preserve">la compensation </w:t>
      </w:r>
      <w:r w:rsidR="00666855" w:rsidRPr="00AD73C8">
        <w:rPr>
          <w:rFonts w:ascii="Marianne" w:hAnsi="Marianne"/>
          <w:b/>
        </w:rPr>
        <w:t xml:space="preserve">ne </w:t>
      </w:r>
      <w:r w:rsidR="00F56C79" w:rsidRPr="00AD73C8">
        <w:rPr>
          <w:rFonts w:ascii="Marianne" w:hAnsi="Marianne"/>
          <w:b/>
        </w:rPr>
        <w:t xml:space="preserve">doit couvrir </w:t>
      </w:r>
      <w:r w:rsidR="00666855" w:rsidRPr="00AD73C8">
        <w:rPr>
          <w:rFonts w:ascii="Marianne" w:hAnsi="Marianne"/>
          <w:b/>
        </w:rPr>
        <w:t>que ce qui est</w:t>
      </w:r>
      <w:r w:rsidR="006A68DB" w:rsidRPr="00AD73C8">
        <w:rPr>
          <w:rFonts w:ascii="Marianne" w:hAnsi="Marianne"/>
          <w:b/>
        </w:rPr>
        <w:t xml:space="preserve"> strictement</w:t>
      </w:r>
      <w:r w:rsidR="00666855" w:rsidRPr="00AD73C8">
        <w:rPr>
          <w:rFonts w:ascii="Marianne" w:hAnsi="Marianne"/>
          <w:b/>
        </w:rPr>
        <w:t xml:space="preserve"> nécessaire à l</w:t>
      </w:r>
      <w:r w:rsidR="009F4238" w:rsidRPr="00AD73C8">
        <w:rPr>
          <w:rFonts w:ascii="Marianne" w:hAnsi="Marianne"/>
          <w:b/>
        </w:rPr>
        <w:t>a réalisation de la mission de service public</w:t>
      </w:r>
      <w:r w:rsidR="00666855" w:rsidRPr="00AD73C8">
        <w:rPr>
          <w:rFonts w:ascii="Marianne" w:hAnsi="Marianne"/>
        </w:rPr>
        <w:t xml:space="preserve">, </w:t>
      </w:r>
      <w:r w:rsidR="009F4238" w:rsidRPr="00AD73C8">
        <w:rPr>
          <w:rFonts w:ascii="Marianne" w:hAnsi="Marianne"/>
        </w:rPr>
        <w:t xml:space="preserve">c’est-à-dire </w:t>
      </w:r>
      <w:r w:rsidR="006A68DB" w:rsidRPr="00AD73C8">
        <w:rPr>
          <w:rFonts w:ascii="Marianne" w:hAnsi="Marianne"/>
        </w:rPr>
        <w:t xml:space="preserve">qu’elle doit se limiter à </w:t>
      </w:r>
      <w:r w:rsidR="009F4238" w:rsidRPr="00AD73C8">
        <w:rPr>
          <w:rFonts w:ascii="Marianne" w:hAnsi="Marianne"/>
        </w:rPr>
        <w:t>la couverture des coûts liés à l’exécution du SIEG</w:t>
      </w:r>
      <w:r w:rsidR="006A68DB" w:rsidRPr="00AD73C8">
        <w:rPr>
          <w:rFonts w:ascii="Marianne" w:hAnsi="Marianne"/>
        </w:rPr>
        <w:t>,</w:t>
      </w:r>
      <w:r w:rsidR="009F4238" w:rsidRPr="00AD73C8">
        <w:rPr>
          <w:rFonts w:ascii="Marianne" w:hAnsi="Marianne"/>
        </w:rPr>
        <w:t xml:space="preserve"> </w:t>
      </w:r>
      <w:r w:rsidR="00F25BDA" w:rsidRPr="00AD73C8">
        <w:rPr>
          <w:rFonts w:ascii="Marianne" w:hAnsi="Marianne"/>
        </w:rPr>
        <w:t xml:space="preserve">en tenant compte </w:t>
      </w:r>
      <w:r w:rsidR="00666855" w:rsidRPr="00AD73C8">
        <w:rPr>
          <w:rFonts w:ascii="Marianne" w:hAnsi="Marianne"/>
        </w:rPr>
        <w:t>des recettes</w:t>
      </w:r>
      <w:r w:rsidR="00F25BDA" w:rsidRPr="00AD73C8">
        <w:rPr>
          <w:rFonts w:ascii="Marianne" w:hAnsi="Marianne"/>
        </w:rPr>
        <w:t xml:space="preserve"> correspondantes</w:t>
      </w:r>
      <w:r w:rsidR="00666855" w:rsidRPr="00AD73C8">
        <w:rPr>
          <w:rFonts w:ascii="Marianne" w:hAnsi="Marianne"/>
        </w:rPr>
        <w:t xml:space="preserve"> et d’un bénéfice raisonnable</w:t>
      </w:r>
      <w:r w:rsidR="00666855" w:rsidRPr="00AD73C8">
        <w:rPr>
          <w:rFonts w:cs="Calibri"/>
        </w:rPr>
        <w:t> </w:t>
      </w:r>
      <w:r w:rsidR="00666855" w:rsidRPr="00AD73C8">
        <w:rPr>
          <w:rFonts w:ascii="Marianne" w:hAnsi="Marianne"/>
        </w:rPr>
        <w:t>;</w:t>
      </w:r>
    </w:p>
    <w:p w:rsidR="00CF10BA" w:rsidRPr="00AD73C8" w:rsidRDefault="00805FFA" w:rsidP="00F56C79">
      <w:pPr>
        <w:numPr>
          <w:ilvl w:val="0"/>
          <w:numId w:val="10"/>
        </w:numPr>
        <w:ind w:left="714" w:hanging="357"/>
        <w:contextualSpacing/>
        <w:jc w:val="both"/>
        <w:rPr>
          <w:rFonts w:ascii="Marianne" w:hAnsi="Marianne"/>
        </w:rPr>
      </w:pPr>
      <w:r w:rsidRPr="00AD73C8">
        <w:rPr>
          <w:rFonts w:ascii="Marianne" w:hAnsi="Marianne"/>
          <w:i/>
        </w:rPr>
        <w:t>ex ante</w:t>
      </w:r>
      <w:r w:rsidR="00F56C79" w:rsidRPr="00AD73C8">
        <w:rPr>
          <w:rFonts w:ascii="Marianne" w:hAnsi="Marianne"/>
        </w:rPr>
        <w:t>,</w:t>
      </w:r>
      <w:r w:rsidRPr="00AD73C8">
        <w:rPr>
          <w:rFonts w:ascii="Marianne" w:hAnsi="Marianne"/>
        </w:rPr>
        <w:t xml:space="preserve"> </w:t>
      </w:r>
      <w:r w:rsidRPr="00AD73C8">
        <w:rPr>
          <w:rFonts w:ascii="Marianne" w:hAnsi="Marianne"/>
          <w:b/>
        </w:rPr>
        <w:t>la compensation</w:t>
      </w:r>
      <w:r w:rsidR="00666855" w:rsidRPr="00AD73C8">
        <w:rPr>
          <w:rFonts w:ascii="Marianne" w:hAnsi="Marianne"/>
          <w:b/>
        </w:rPr>
        <w:t xml:space="preserve"> </w:t>
      </w:r>
      <w:r w:rsidR="00CF10BA" w:rsidRPr="00AD73C8">
        <w:rPr>
          <w:rFonts w:ascii="Marianne" w:hAnsi="Marianne"/>
          <w:b/>
        </w:rPr>
        <w:t>doit être préalablement établie sur la base d’un paramétrage objectif et transparent</w:t>
      </w:r>
      <w:r w:rsidR="00CF10BA" w:rsidRPr="00AD73C8">
        <w:rPr>
          <w:rFonts w:ascii="Marianne" w:hAnsi="Marianne"/>
        </w:rPr>
        <w:t xml:space="preserve"> permettant de prévenir toute surcompensation des coûts induits par l’exécution des </w:t>
      </w:r>
      <w:r w:rsidR="00F56C79" w:rsidRPr="00AD73C8">
        <w:rPr>
          <w:rFonts w:ascii="Marianne" w:hAnsi="Marianne"/>
        </w:rPr>
        <w:t>obligations de service public</w:t>
      </w:r>
      <w:r w:rsidR="00CF10BA" w:rsidRPr="00AD73C8">
        <w:rPr>
          <w:rFonts w:cs="Calibri"/>
        </w:rPr>
        <w:t> </w:t>
      </w:r>
      <w:r w:rsidR="00CF10BA" w:rsidRPr="00AD73C8">
        <w:rPr>
          <w:rFonts w:ascii="Marianne" w:hAnsi="Marianne"/>
        </w:rPr>
        <w:t>;</w:t>
      </w:r>
    </w:p>
    <w:p w:rsidR="00666855" w:rsidRPr="00AD73C8" w:rsidRDefault="00805FFA" w:rsidP="00F56C79">
      <w:pPr>
        <w:numPr>
          <w:ilvl w:val="0"/>
          <w:numId w:val="10"/>
        </w:numPr>
        <w:ind w:left="714" w:hanging="357"/>
        <w:contextualSpacing/>
        <w:jc w:val="both"/>
        <w:rPr>
          <w:rFonts w:ascii="Marianne" w:hAnsi="Marianne"/>
        </w:rPr>
      </w:pPr>
      <w:r w:rsidRPr="00AD73C8">
        <w:rPr>
          <w:rFonts w:ascii="Marianne" w:hAnsi="Marianne"/>
          <w:i/>
        </w:rPr>
        <w:t>in itinere</w:t>
      </w:r>
      <w:r w:rsidR="00F56C79" w:rsidRPr="00AD73C8">
        <w:rPr>
          <w:rFonts w:ascii="Marianne" w:hAnsi="Marianne"/>
        </w:rPr>
        <w:t>,</w:t>
      </w:r>
      <w:r w:rsidRPr="00AD73C8">
        <w:rPr>
          <w:rFonts w:ascii="Marianne" w:hAnsi="Marianne"/>
        </w:rPr>
        <w:t xml:space="preserve"> </w:t>
      </w:r>
      <w:r w:rsidR="00666855" w:rsidRPr="00AD73C8">
        <w:rPr>
          <w:rFonts w:ascii="Marianne" w:hAnsi="Marianne"/>
          <w:b/>
        </w:rPr>
        <w:t>la collectivité doit veiller à ce que</w:t>
      </w:r>
      <w:r w:rsidR="00666855" w:rsidRPr="00AD73C8">
        <w:rPr>
          <w:rFonts w:ascii="Marianne" w:hAnsi="Marianne"/>
        </w:rPr>
        <w:t xml:space="preserve"> </w:t>
      </w:r>
      <w:r w:rsidR="00666855" w:rsidRPr="00AD73C8">
        <w:rPr>
          <w:rFonts w:ascii="Marianne" w:hAnsi="Marianne"/>
          <w:b/>
        </w:rPr>
        <w:t>la compensation accordée n’entraîne pas de surcompensation</w:t>
      </w:r>
      <w:r w:rsidR="00666855" w:rsidRPr="00AD73C8">
        <w:rPr>
          <w:rFonts w:ascii="Marianne" w:hAnsi="Marianne"/>
        </w:rPr>
        <w:t>.</w:t>
      </w:r>
    </w:p>
    <w:p w:rsidR="00F56C79" w:rsidRPr="00AD73C8" w:rsidRDefault="00F56C79" w:rsidP="00F56C79">
      <w:pPr>
        <w:ind w:left="714"/>
        <w:contextualSpacing/>
        <w:jc w:val="both"/>
        <w:rPr>
          <w:rFonts w:ascii="Marianne" w:hAnsi="Marianne"/>
        </w:rPr>
      </w:pPr>
    </w:p>
    <w:p w:rsidR="00E92651" w:rsidRPr="00AD73C8" w:rsidRDefault="00E92651" w:rsidP="004D5494">
      <w:pPr>
        <w:jc w:val="both"/>
        <w:rPr>
          <w:rFonts w:ascii="Marianne" w:hAnsi="Marianne"/>
        </w:rPr>
      </w:pPr>
      <w:r w:rsidRPr="00AD73C8">
        <w:rPr>
          <w:rFonts w:ascii="Marianne" w:hAnsi="Marianne"/>
        </w:rPr>
        <w:t xml:space="preserve">De ces principes découlent </w:t>
      </w:r>
      <w:r w:rsidR="00EA2C5B" w:rsidRPr="00AD73C8">
        <w:rPr>
          <w:rFonts w:ascii="Marianne" w:hAnsi="Marianne"/>
        </w:rPr>
        <w:t>deux</w:t>
      </w:r>
      <w:r w:rsidRPr="00AD73C8">
        <w:rPr>
          <w:rFonts w:ascii="Marianne" w:hAnsi="Marianne"/>
        </w:rPr>
        <w:t xml:space="preserve"> obligations pour la collectivité organisatrice.</w:t>
      </w:r>
    </w:p>
    <w:p w:rsidR="00E92651" w:rsidRPr="00AD73C8" w:rsidRDefault="00E92651" w:rsidP="00E92651">
      <w:pPr>
        <w:numPr>
          <w:ilvl w:val="0"/>
          <w:numId w:val="16"/>
        </w:numPr>
        <w:jc w:val="both"/>
        <w:rPr>
          <w:rFonts w:ascii="Marianne" w:hAnsi="Marianne"/>
        </w:rPr>
      </w:pPr>
      <w:r w:rsidRPr="00AD73C8">
        <w:rPr>
          <w:rFonts w:ascii="Marianne" w:hAnsi="Marianne"/>
          <w:b/>
        </w:rPr>
        <w:t>La collectivité doit d</w:t>
      </w:r>
      <w:r w:rsidR="00D61560" w:rsidRPr="00AD73C8">
        <w:rPr>
          <w:rFonts w:ascii="Marianne" w:hAnsi="Marianne"/>
          <w:b/>
        </w:rPr>
        <w:t>écrire dans le mandat le mécanisme de compensation et les paramètres de calcul, de contrôle et de révision de la compensation</w:t>
      </w:r>
      <w:r w:rsidR="00D61560" w:rsidRPr="00AD73C8">
        <w:rPr>
          <w:rFonts w:ascii="Marianne" w:hAnsi="Marianne"/>
        </w:rPr>
        <w:t>.</w:t>
      </w:r>
      <w:r w:rsidR="00224832" w:rsidRPr="00AD73C8">
        <w:rPr>
          <w:rFonts w:ascii="Marianne" w:hAnsi="Marianne"/>
        </w:rPr>
        <w:t xml:space="preserve"> </w:t>
      </w:r>
    </w:p>
    <w:p w:rsidR="00D61560" w:rsidRPr="00B97682" w:rsidRDefault="00000EE5" w:rsidP="004D5494">
      <w:pPr>
        <w:jc w:val="both"/>
        <w:rPr>
          <w:rFonts w:ascii="Marianne" w:hAnsi="Marianne"/>
          <w:u w:val="single"/>
        </w:rPr>
      </w:pPr>
      <w:r w:rsidRPr="00AD73C8">
        <w:rPr>
          <w:rFonts w:ascii="Marianne" w:hAnsi="Marianne"/>
        </w:rPr>
        <w:t xml:space="preserve">Il est souvent impossible de connaître tous les détails des coûts lorsqu’une une entreprise commence à fournir un SIEG. Par </w:t>
      </w:r>
      <w:r w:rsidR="00AD73C8" w:rsidRPr="00AD73C8">
        <w:rPr>
          <w:rFonts w:ascii="Marianne" w:hAnsi="Marianne"/>
        </w:rPr>
        <w:t>conséquent, il</w:t>
      </w:r>
      <w:r w:rsidR="009D52C2" w:rsidRPr="00AD73C8">
        <w:rPr>
          <w:rFonts w:ascii="Marianne" w:hAnsi="Marianne"/>
        </w:rPr>
        <w:t xml:space="preserve"> n’est pas </w:t>
      </w:r>
      <w:r w:rsidR="00224832" w:rsidRPr="00AD73C8">
        <w:rPr>
          <w:rFonts w:ascii="Marianne" w:hAnsi="Marianne"/>
        </w:rPr>
        <w:t>exig</w:t>
      </w:r>
      <w:r w:rsidR="009D52C2" w:rsidRPr="00AD73C8">
        <w:rPr>
          <w:rFonts w:ascii="Marianne" w:hAnsi="Marianne"/>
        </w:rPr>
        <w:t>é</w:t>
      </w:r>
      <w:r w:rsidR="009027A0" w:rsidRPr="00AD73C8">
        <w:rPr>
          <w:rFonts w:ascii="Marianne" w:hAnsi="Marianne"/>
        </w:rPr>
        <w:t xml:space="preserve"> </w:t>
      </w:r>
      <w:r w:rsidR="00224832" w:rsidRPr="00AD73C8">
        <w:rPr>
          <w:rFonts w:ascii="Marianne" w:hAnsi="Marianne"/>
        </w:rPr>
        <w:t>que le mandat fournisse le calcul détaillé des coûts mais qu’il précise de façon claire la base sur laquelle la collectivité pu</w:t>
      </w:r>
      <w:r w:rsidR="00751A17" w:rsidRPr="00AD73C8">
        <w:rPr>
          <w:rFonts w:ascii="Marianne" w:hAnsi="Marianne"/>
        </w:rPr>
        <w:t>blique financera le prestataire, c’est-à-dire la base servant à calculer la compe</w:t>
      </w:r>
      <w:r w:rsidR="00330785" w:rsidRPr="00AD73C8">
        <w:rPr>
          <w:rFonts w:ascii="Marianne" w:hAnsi="Marianne"/>
        </w:rPr>
        <w:t>nsation</w:t>
      </w:r>
      <w:r w:rsidR="008C088B" w:rsidRPr="00AD73C8">
        <w:rPr>
          <w:rFonts w:ascii="Marianne" w:hAnsi="Marianne"/>
        </w:rPr>
        <w:t>.</w:t>
      </w:r>
      <w:r w:rsidR="00AD73C8" w:rsidRPr="00AD73C8">
        <w:rPr>
          <w:rFonts w:ascii="Marianne" w:hAnsi="Marianne"/>
        </w:rPr>
        <w:t xml:space="preserve"> </w:t>
      </w:r>
      <w:r w:rsidR="008C088B" w:rsidRPr="00B97682">
        <w:rPr>
          <w:rFonts w:ascii="Marianne" w:hAnsi="Marianne"/>
          <w:u w:val="single"/>
        </w:rPr>
        <w:t>Celle-ci</w:t>
      </w:r>
      <w:r w:rsidR="00330785" w:rsidRPr="00B97682">
        <w:rPr>
          <w:rFonts w:ascii="Marianne" w:hAnsi="Marianne"/>
          <w:u w:val="single"/>
        </w:rPr>
        <w:t xml:space="preserve"> ne </w:t>
      </w:r>
      <w:r w:rsidR="008C088B" w:rsidRPr="00B97682">
        <w:rPr>
          <w:rFonts w:ascii="Marianne" w:hAnsi="Marianne"/>
          <w:u w:val="single"/>
        </w:rPr>
        <w:t>doit pas</w:t>
      </w:r>
      <w:r w:rsidR="00330785" w:rsidRPr="00B97682">
        <w:rPr>
          <w:rFonts w:ascii="Marianne" w:hAnsi="Marianne"/>
          <w:u w:val="single"/>
        </w:rPr>
        <w:t xml:space="preserve"> excéder ce qui est nécessaire pour couvrir le coût net de l’exécution des obligations de service public, compte tenu d’un bénéfice raisonnable.</w:t>
      </w:r>
    </w:p>
    <w:p w:rsidR="000D2A0D" w:rsidRPr="00AD73C8" w:rsidRDefault="00EA2C5B" w:rsidP="000D2A0D">
      <w:pPr>
        <w:jc w:val="both"/>
        <w:rPr>
          <w:rFonts w:ascii="Marianne" w:hAnsi="Marianne"/>
        </w:rPr>
      </w:pPr>
      <w:r w:rsidRPr="00AD73C8">
        <w:rPr>
          <w:rFonts w:ascii="Marianne" w:hAnsi="Marianne"/>
        </w:rPr>
        <w:lastRenderedPageBreak/>
        <w:t xml:space="preserve">Les coûts à prendre en considération correspondent à </w:t>
      </w:r>
      <w:r w:rsidRPr="00AD73C8">
        <w:rPr>
          <w:rFonts w:ascii="Marianne" w:hAnsi="Marianne"/>
          <w:b/>
        </w:rPr>
        <w:t>tous les coûts nés de la gestion du SIEG</w:t>
      </w:r>
      <w:r w:rsidRPr="00AD73C8">
        <w:rPr>
          <w:rFonts w:ascii="Marianne" w:hAnsi="Marianne"/>
        </w:rPr>
        <w:t>, calculés sur la base des principes de comptabilité généralement acceptés</w:t>
      </w:r>
      <w:r w:rsidRPr="00AD73C8">
        <w:rPr>
          <w:rFonts w:cs="Calibri"/>
        </w:rPr>
        <w:t> </w:t>
      </w:r>
      <w:r w:rsidRPr="00AD73C8">
        <w:rPr>
          <w:rFonts w:ascii="Marianne" w:hAnsi="Marianne"/>
        </w:rPr>
        <w:t xml:space="preserve">: </w:t>
      </w:r>
      <w:r w:rsidR="007C5EC8" w:rsidRPr="00AD73C8">
        <w:rPr>
          <w:rFonts w:ascii="Marianne" w:hAnsi="Marianne"/>
        </w:rPr>
        <w:t>ils peuvent couvrir tous les coûts directs occasionnés par la fourniture du service ainsi qu’une contribution proportionnelle aux coûts fixes communs au service en cause et à d’autres activités. Les coûts liés aux investissements, notamment d’infrastructures, peuvent être pris en considération</w:t>
      </w:r>
      <w:r w:rsidR="009027A0" w:rsidRPr="00AD73C8">
        <w:rPr>
          <w:rFonts w:ascii="Marianne" w:hAnsi="Marianne"/>
        </w:rPr>
        <w:t xml:space="preserve"> </w:t>
      </w:r>
      <w:r w:rsidR="007C5EC8" w:rsidRPr="00AD73C8">
        <w:rPr>
          <w:rFonts w:ascii="Marianne" w:hAnsi="Marianne"/>
        </w:rPr>
        <w:t>lorsque ces investissements sont nécessaires au fonctionnement du SIEG.</w:t>
      </w:r>
    </w:p>
    <w:p w:rsidR="003B5967" w:rsidRPr="00AD73C8" w:rsidRDefault="003B5967" w:rsidP="009027A0">
      <w:pPr>
        <w:jc w:val="both"/>
        <w:rPr>
          <w:rFonts w:ascii="Marianne" w:hAnsi="Marianne"/>
        </w:rPr>
      </w:pPr>
      <w:r w:rsidRPr="00AD73C8">
        <w:rPr>
          <w:rFonts w:ascii="Marianne" w:hAnsi="Marianne"/>
        </w:rPr>
        <w:t xml:space="preserve">Lorsque l’entreprise réalise également des activités en dehors du SIEG, </w:t>
      </w:r>
      <w:r w:rsidRPr="00AD73C8">
        <w:rPr>
          <w:rFonts w:ascii="Marianne" w:hAnsi="Marianne"/>
          <w:b/>
        </w:rPr>
        <w:t>seuls les coûts liés au SIEG peuvent être pris en considération</w:t>
      </w:r>
      <w:r w:rsidRPr="00AD73C8">
        <w:rPr>
          <w:rFonts w:cs="Calibri"/>
          <w:b/>
        </w:rPr>
        <w:t> </w:t>
      </w:r>
      <w:r w:rsidRPr="00AD73C8">
        <w:rPr>
          <w:rFonts w:ascii="Marianne" w:hAnsi="Marianne"/>
        </w:rPr>
        <w:t>: dans ce cas, sa comptabilité interne indique séparément les coûts et les recettes liés à ce service et à d’autres services, ainsi que les paramètres de répartition des coûts et des recettes. En effet, une compensation accordée pour le fonctionnement d’un SIEG, mais utilisée en fait pour intervenir sur d’autres marchés, n’est pas justifiée par une obligation de service public et constitue donc une aide d’État.</w:t>
      </w:r>
    </w:p>
    <w:p w:rsidR="003B5967" w:rsidRPr="00AD73C8" w:rsidRDefault="003B5967" w:rsidP="009027A0">
      <w:pPr>
        <w:jc w:val="both"/>
        <w:rPr>
          <w:rFonts w:ascii="Marianne" w:hAnsi="Marianne"/>
          <w:color w:val="000000"/>
        </w:rPr>
      </w:pPr>
      <w:r w:rsidRPr="00AD73C8">
        <w:rPr>
          <w:rFonts w:ascii="Marianne" w:hAnsi="Marianne"/>
          <w:color w:val="000000"/>
        </w:rPr>
        <w:t xml:space="preserve">Les recettes à prendre en considération incluent la </w:t>
      </w:r>
      <w:r w:rsidRPr="00AD73C8">
        <w:rPr>
          <w:rFonts w:ascii="Marianne" w:hAnsi="Marianne"/>
          <w:b/>
          <w:color w:val="000000"/>
        </w:rPr>
        <w:t>totalité des recettes tirées du SIEG</w:t>
      </w:r>
      <w:r w:rsidRPr="00AD73C8">
        <w:rPr>
          <w:rFonts w:ascii="Marianne" w:hAnsi="Marianne"/>
          <w:color w:val="000000"/>
        </w:rPr>
        <w:t xml:space="preserve">. </w:t>
      </w:r>
      <w:r w:rsidR="003566E8" w:rsidRPr="00AD73C8">
        <w:rPr>
          <w:rFonts w:ascii="Marianne" w:hAnsi="Marianne"/>
          <w:color w:val="000000"/>
        </w:rPr>
        <w:t>L</w:t>
      </w:r>
      <w:r w:rsidRPr="00AD73C8">
        <w:rPr>
          <w:rFonts w:ascii="Marianne" w:hAnsi="Marianne"/>
          <w:color w:val="000000"/>
        </w:rPr>
        <w:t>’autorité publique p</w:t>
      </w:r>
      <w:r w:rsidR="00AD73C8" w:rsidRPr="00AD73C8">
        <w:rPr>
          <w:rFonts w:ascii="Marianne" w:hAnsi="Marianne"/>
          <w:color w:val="000000"/>
        </w:rPr>
        <w:t>ouvant,</w:t>
      </w:r>
      <w:r w:rsidRPr="00AD73C8">
        <w:rPr>
          <w:rFonts w:ascii="Marianne" w:hAnsi="Marianne"/>
          <w:color w:val="000000"/>
        </w:rPr>
        <w:t xml:space="preserve"> </w:t>
      </w:r>
      <w:r w:rsidR="003566E8" w:rsidRPr="00AD73C8">
        <w:rPr>
          <w:rFonts w:ascii="Marianne" w:hAnsi="Marianne"/>
          <w:color w:val="000000"/>
        </w:rPr>
        <w:t>en outre</w:t>
      </w:r>
      <w:r w:rsidR="00AD73C8" w:rsidRPr="00AD73C8">
        <w:rPr>
          <w:rFonts w:ascii="Marianne" w:hAnsi="Marianne"/>
          <w:color w:val="000000"/>
        </w:rPr>
        <w:t>,</w:t>
      </w:r>
      <w:r w:rsidR="003566E8" w:rsidRPr="00AD73C8">
        <w:rPr>
          <w:rFonts w:ascii="Marianne" w:hAnsi="Marianne"/>
          <w:color w:val="000000"/>
        </w:rPr>
        <w:t xml:space="preserve"> </w:t>
      </w:r>
      <w:r w:rsidRPr="00AD73C8">
        <w:rPr>
          <w:rFonts w:ascii="Marianne" w:hAnsi="Marianne"/>
          <w:color w:val="000000"/>
        </w:rPr>
        <w:t>décider d’affecter, en tout ou partie</w:t>
      </w:r>
      <w:r w:rsidR="009027A0" w:rsidRPr="00AD73C8">
        <w:rPr>
          <w:rFonts w:ascii="Marianne" w:hAnsi="Marianne"/>
          <w:color w:val="000000"/>
        </w:rPr>
        <w:t>,</w:t>
      </w:r>
      <w:r w:rsidRPr="00AD73C8">
        <w:rPr>
          <w:rFonts w:ascii="Marianne" w:hAnsi="Marianne"/>
          <w:color w:val="000000"/>
        </w:rPr>
        <w:t xml:space="preserve"> au financement du SIEG les bénéfices tirés d’autres activités</w:t>
      </w:r>
      <w:r w:rsidR="001302EC" w:rsidRPr="00AD73C8">
        <w:rPr>
          <w:rFonts w:ascii="Marianne" w:hAnsi="Marianne"/>
          <w:color w:val="000000"/>
        </w:rPr>
        <w:t xml:space="preserve"> exercées par l’entreprise</w:t>
      </w:r>
      <w:r w:rsidR="000E005C" w:rsidRPr="00AD73C8">
        <w:rPr>
          <w:rFonts w:ascii="Marianne" w:hAnsi="Marianne"/>
        </w:rPr>
        <w:t xml:space="preserve"> ne pouvant bénéficier de l’exemption de notification prévue par le paquet </w:t>
      </w:r>
      <w:r w:rsidR="009027A0" w:rsidRPr="00AD73C8">
        <w:rPr>
          <w:rFonts w:ascii="Marianne" w:hAnsi="Marianne"/>
        </w:rPr>
        <w:t>«</w:t>
      </w:r>
      <w:r w:rsidR="009027A0" w:rsidRPr="00AD73C8">
        <w:rPr>
          <w:rFonts w:cs="Calibri"/>
        </w:rPr>
        <w:t> </w:t>
      </w:r>
      <w:r w:rsidR="000E005C" w:rsidRPr="00AD73C8">
        <w:rPr>
          <w:rFonts w:ascii="Marianne" w:hAnsi="Marianne"/>
        </w:rPr>
        <w:t>Almunia</w:t>
      </w:r>
      <w:r w:rsidR="009027A0" w:rsidRPr="00AD73C8">
        <w:rPr>
          <w:rFonts w:cs="Calibri"/>
        </w:rPr>
        <w:t> </w:t>
      </w:r>
      <w:r w:rsidR="009027A0" w:rsidRPr="00AD73C8">
        <w:rPr>
          <w:rFonts w:ascii="Marianne" w:hAnsi="Marianne" w:cs="Marianne"/>
        </w:rPr>
        <w:t>»</w:t>
      </w:r>
      <w:r w:rsidR="000E005C" w:rsidRPr="00AD73C8">
        <w:rPr>
          <w:rFonts w:ascii="Marianne" w:hAnsi="Marianne"/>
        </w:rPr>
        <w:t>.</w:t>
      </w:r>
    </w:p>
    <w:p w:rsidR="003B5967" w:rsidRPr="00AD73C8" w:rsidRDefault="003B5967" w:rsidP="00AD73C8">
      <w:pPr>
        <w:jc w:val="both"/>
        <w:rPr>
          <w:rFonts w:ascii="Marianne" w:hAnsi="Marianne"/>
        </w:rPr>
      </w:pPr>
      <w:r w:rsidRPr="00AD73C8">
        <w:rPr>
          <w:rFonts w:ascii="Marianne" w:hAnsi="Marianne"/>
          <w:color w:val="000000"/>
        </w:rPr>
        <w:t>Aux coûts nets s’ajoute, pour le calcul de la compensation,</w:t>
      </w:r>
      <w:r w:rsidRPr="00AD73C8">
        <w:rPr>
          <w:rFonts w:ascii="Marianne" w:hAnsi="Marianne"/>
          <w:b/>
          <w:color w:val="000000"/>
        </w:rPr>
        <w:t xml:space="preserve"> le bénéfice raisonnable</w:t>
      </w:r>
      <w:r w:rsidRPr="00AD73C8">
        <w:rPr>
          <w:rFonts w:ascii="Marianne" w:hAnsi="Marianne"/>
          <w:color w:val="000000"/>
        </w:rPr>
        <w:t>. Celui-ci correspond au taux de rendement du capital qu’exigerait une entreprise moyenne s’interrogeant sur l’opportunité de fournir le SIEG pendant toute la durée du mandat, en tenant compte du niveau de risque. Le taux de rendement du capital</w:t>
      </w:r>
      <w:r w:rsidRPr="00AD73C8">
        <w:rPr>
          <w:rFonts w:ascii="Marianne" w:hAnsi="Marianne"/>
          <w:color w:val="000000"/>
          <w:vertAlign w:val="superscript"/>
        </w:rPr>
        <w:footnoteReference w:id="12"/>
      </w:r>
      <w:r w:rsidRPr="00AD73C8">
        <w:rPr>
          <w:rFonts w:ascii="Marianne" w:hAnsi="Marianne"/>
          <w:color w:val="000000"/>
        </w:rPr>
        <w:t xml:space="preserve"> est défini comme le taux de rendement interne que l’entreprise obtient sur son capital investi pendant la durée du mandat. Le niveau de risque dépend du secteur concerné, du type de service et des caractéristiques de la compensation. </w:t>
      </w:r>
      <w:r w:rsidRPr="00AD73C8">
        <w:rPr>
          <w:rFonts w:ascii="Marianne" w:hAnsi="Marianne"/>
        </w:rPr>
        <w:t>Pour déterminer ce qui constitue un bénéfice raisonnable, les États membres peuvent introduire des critères incitatifs, liés notamment à la qualité du service fourni et aux gains d’efficience productive.</w:t>
      </w:r>
    </w:p>
    <w:p w:rsidR="000B3E6E" w:rsidRPr="00AD73C8" w:rsidRDefault="000B3E6E" w:rsidP="003B5967">
      <w:pPr>
        <w:pStyle w:val="Default"/>
        <w:spacing w:before="57" w:line="276" w:lineRule="auto"/>
        <w:jc w:val="both"/>
        <w:rPr>
          <w:rFonts w:ascii="Marianne" w:hAnsi="Marianne" w:cs="Times New Roman"/>
          <w:sz w:val="22"/>
          <w:szCs w:val="22"/>
        </w:rPr>
      </w:pPr>
    </w:p>
    <w:p w:rsidR="00D61560" w:rsidRPr="00AD73C8" w:rsidRDefault="00D61560" w:rsidP="00E92651">
      <w:pPr>
        <w:numPr>
          <w:ilvl w:val="0"/>
          <w:numId w:val="16"/>
        </w:numPr>
        <w:jc w:val="both"/>
        <w:rPr>
          <w:rFonts w:ascii="Marianne" w:hAnsi="Marianne"/>
        </w:rPr>
      </w:pPr>
      <w:r w:rsidRPr="00AD73C8">
        <w:rPr>
          <w:rFonts w:ascii="Marianne" w:hAnsi="Marianne"/>
          <w:b/>
        </w:rPr>
        <w:t>La collectivité doit également</w:t>
      </w:r>
      <w:r w:rsidRPr="00AD73C8">
        <w:rPr>
          <w:rFonts w:ascii="Marianne" w:hAnsi="Marianne"/>
        </w:rPr>
        <w:t xml:space="preserve"> </w:t>
      </w:r>
      <w:r w:rsidRPr="00AD73C8">
        <w:rPr>
          <w:rFonts w:ascii="Marianne" w:hAnsi="Marianne"/>
          <w:b/>
        </w:rPr>
        <w:t>fixer dans le mandat les modalités de récupération des éventuelles surcompensations et les moyens d’éviter ces surcompensations</w:t>
      </w:r>
      <w:r w:rsidRPr="00AD73C8">
        <w:rPr>
          <w:rFonts w:ascii="Marianne" w:hAnsi="Marianne"/>
        </w:rPr>
        <w:t>.</w:t>
      </w:r>
    </w:p>
    <w:p w:rsidR="003C0C85" w:rsidRPr="00AD73C8" w:rsidRDefault="003C0C85" w:rsidP="004D5494">
      <w:pPr>
        <w:jc w:val="both"/>
        <w:rPr>
          <w:rFonts w:ascii="Marianne" w:hAnsi="Marianne"/>
        </w:rPr>
      </w:pPr>
      <w:r w:rsidRPr="00AD73C8">
        <w:rPr>
          <w:rFonts w:ascii="Marianne" w:hAnsi="Marianne"/>
        </w:rPr>
        <w:t>L’</w:t>
      </w:r>
      <w:r w:rsidR="00AD73C8" w:rsidRPr="00AD73C8">
        <w:rPr>
          <w:rFonts w:ascii="Marianne" w:hAnsi="Marianne"/>
          <w:b/>
        </w:rPr>
        <w:t xml:space="preserve">existence </w:t>
      </w:r>
      <w:r w:rsidRPr="00AD73C8">
        <w:rPr>
          <w:rFonts w:ascii="Marianne" w:hAnsi="Marianne"/>
          <w:b/>
        </w:rPr>
        <w:t xml:space="preserve">d’un mécanisme de </w:t>
      </w:r>
      <w:r w:rsidR="00AD73C8" w:rsidRPr="00AD73C8">
        <w:rPr>
          <w:rFonts w:ascii="Marianne" w:hAnsi="Marianne"/>
          <w:b/>
        </w:rPr>
        <w:t xml:space="preserve">récupération </w:t>
      </w:r>
      <w:r w:rsidRPr="00AD73C8">
        <w:rPr>
          <w:rFonts w:ascii="Marianne" w:hAnsi="Marianne"/>
          <w:b/>
        </w:rPr>
        <w:t xml:space="preserve">dans le mandat </w:t>
      </w:r>
      <w:r w:rsidRPr="00AD73C8">
        <w:rPr>
          <w:rFonts w:ascii="Marianne" w:hAnsi="Marianne"/>
        </w:rPr>
        <w:t>permet de minimiser le risque de surcompensation.</w:t>
      </w:r>
    </w:p>
    <w:p w:rsidR="00020F46" w:rsidRPr="00AD73C8" w:rsidRDefault="00EC13AE" w:rsidP="004D5494">
      <w:pPr>
        <w:jc w:val="both"/>
        <w:rPr>
          <w:rFonts w:ascii="Marianne" w:hAnsi="Marianne"/>
        </w:rPr>
      </w:pPr>
      <w:r w:rsidRPr="00AD73C8">
        <w:rPr>
          <w:rFonts w:ascii="Marianne" w:hAnsi="Marianne"/>
        </w:rPr>
        <w:t xml:space="preserve">A titre d’exemple, </w:t>
      </w:r>
      <w:r w:rsidR="006A3F0D" w:rsidRPr="00AD73C8">
        <w:rPr>
          <w:rFonts w:ascii="Marianne" w:hAnsi="Marianne"/>
        </w:rPr>
        <w:t>un</w:t>
      </w:r>
      <w:r w:rsidR="00411F31" w:rsidRPr="00AD73C8">
        <w:rPr>
          <w:rFonts w:ascii="Marianne" w:hAnsi="Marianne"/>
        </w:rPr>
        <w:t xml:space="preserve"> contrat de concession </w:t>
      </w:r>
      <w:r w:rsidRPr="00AD73C8">
        <w:rPr>
          <w:rFonts w:ascii="Marianne" w:hAnsi="Marianne"/>
        </w:rPr>
        <w:t xml:space="preserve">prévoyant une subvention permettant de cofinancer la construction de l’infrastructure nécessaire à l’exécution du SIEG </w:t>
      </w:r>
      <w:r w:rsidR="008C4701" w:rsidRPr="00AD73C8">
        <w:rPr>
          <w:rFonts w:ascii="Marianne" w:hAnsi="Marianne"/>
        </w:rPr>
        <w:lastRenderedPageBreak/>
        <w:t>peut</w:t>
      </w:r>
      <w:r w:rsidR="00D574AD" w:rsidRPr="00AD73C8">
        <w:rPr>
          <w:rFonts w:ascii="Marianne" w:hAnsi="Marianne"/>
        </w:rPr>
        <w:t xml:space="preserve"> prévoir un mécanisme de rattrapage</w:t>
      </w:r>
      <w:r w:rsidR="009027A0" w:rsidRPr="00AD73C8">
        <w:rPr>
          <w:rFonts w:ascii="Marianne" w:hAnsi="Marianne"/>
        </w:rPr>
        <w:t>,</w:t>
      </w:r>
      <w:r w:rsidR="00D574AD" w:rsidRPr="00AD73C8">
        <w:rPr>
          <w:rFonts w:ascii="Marianne" w:hAnsi="Marianne"/>
        </w:rPr>
        <w:t xml:space="preserve"> telle </w:t>
      </w:r>
      <w:r w:rsidRPr="00AD73C8">
        <w:rPr>
          <w:rFonts w:ascii="Marianne" w:hAnsi="Marianne"/>
        </w:rPr>
        <w:t xml:space="preserve">une </w:t>
      </w:r>
      <w:r w:rsidR="00D61560" w:rsidRPr="00AD73C8">
        <w:rPr>
          <w:rFonts w:ascii="Marianne" w:hAnsi="Marianne"/>
        </w:rPr>
        <w:t>clause de retour à mei</w:t>
      </w:r>
      <w:r w:rsidRPr="00AD73C8">
        <w:rPr>
          <w:rFonts w:ascii="Marianne" w:hAnsi="Marianne"/>
        </w:rPr>
        <w:t>lleure fortune déclenchée lorsque des seuils</w:t>
      </w:r>
      <w:r w:rsidR="00020F46" w:rsidRPr="00AD73C8">
        <w:rPr>
          <w:rFonts w:ascii="Marianne" w:hAnsi="Marianne"/>
        </w:rPr>
        <w:t xml:space="preserve"> de rentabilité</w:t>
      </w:r>
      <w:r w:rsidRPr="00AD73C8">
        <w:rPr>
          <w:rFonts w:ascii="Marianne" w:hAnsi="Marianne"/>
        </w:rPr>
        <w:t xml:space="preserve"> fixés par </w:t>
      </w:r>
      <w:r w:rsidR="009027A0" w:rsidRPr="00AD73C8">
        <w:rPr>
          <w:rFonts w:ascii="Marianne" w:hAnsi="Marianne"/>
        </w:rPr>
        <w:t>celle-ci</w:t>
      </w:r>
      <w:r w:rsidRPr="00AD73C8">
        <w:rPr>
          <w:rFonts w:ascii="Marianne" w:hAnsi="Marianne"/>
        </w:rPr>
        <w:t xml:space="preserve"> sont atteints. </w:t>
      </w:r>
      <w:r w:rsidR="009B236C" w:rsidRPr="00AD73C8">
        <w:rPr>
          <w:rFonts w:ascii="Marianne" w:hAnsi="Marianne"/>
        </w:rPr>
        <w:t xml:space="preserve">Ce mécanisme permettra de limiter a </w:t>
      </w:r>
      <w:r w:rsidR="009B236C" w:rsidRPr="00AD73C8">
        <w:rPr>
          <w:rFonts w:ascii="Marianne" w:hAnsi="Marianne"/>
          <w:i/>
        </w:rPr>
        <w:t>priori</w:t>
      </w:r>
      <w:r w:rsidR="009B236C" w:rsidRPr="00AD73C8">
        <w:rPr>
          <w:rFonts w:ascii="Marianne" w:hAnsi="Marianne"/>
        </w:rPr>
        <w:t xml:space="preserve"> le risque de surcompensation. </w:t>
      </w:r>
    </w:p>
    <w:p w:rsidR="00D61560" w:rsidRPr="00AD73C8" w:rsidRDefault="009027A0" w:rsidP="004D5494">
      <w:pPr>
        <w:jc w:val="both"/>
        <w:rPr>
          <w:rFonts w:ascii="Marianne" w:hAnsi="Marianne"/>
        </w:rPr>
      </w:pPr>
      <w:r w:rsidRPr="00AD73C8">
        <w:rPr>
          <w:rFonts w:ascii="Marianne" w:hAnsi="Marianne"/>
        </w:rPr>
        <w:t>L</w:t>
      </w:r>
      <w:r w:rsidR="00EC13AE" w:rsidRPr="00AD73C8">
        <w:rPr>
          <w:rFonts w:ascii="Marianne" w:hAnsi="Marianne"/>
        </w:rPr>
        <w:t xml:space="preserve">e modèle de </w:t>
      </w:r>
      <w:r w:rsidR="00D61560" w:rsidRPr="00AD73C8">
        <w:rPr>
          <w:rFonts w:ascii="Marianne" w:hAnsi="Marianne"/>
        </w:rPr>
        <w:t xml:space="preserve">convention </w:t>
      </w:r>
      <w:r w:rsidR="00B57055" w:rsidRPr="00AD73C8">
        <w:rPr>
          <w:rFonts w:ascii="Marianne" w:hAnsi="Marianne"/>
        </w:rPr>
        <w:t xml:space="preserve">pluriannuelle </w:t>
      </w:r>
      <w:r w:rsidR="00D61560" w:rsidRPr="00AD73C8">
        <w:rPr>
          <w:rFonts w:ascii="Marianne" w:hAnsi="Marianne"/>
        </w:rPr>
        <w:t xml:space="preserve">d’objectifs </w:t>
      </w:r>
      <w:r w:rsidR="00BA237E" w:rsidRPr="00AD73C8">
        <w:rPr>
          <w:rFonts w:ascii="Marianne" w:hAnsi="Marianne"/>
        </w:rPr>
        <w:t>annexé</w:t>
      </w:r>
      <w:r w:rsidR="00B57055" w:rsidRPr="00AD73C8">
        <w:rPr>
          <w:rFonts w:ascii="Marianne" w:hAnsi="Marianne"/>
        </w:rPr>
        <w:t xml:space="preserve"> à </w:t>
      </w:r>
      <w:r w:rsidR="00EC13AE" w:rsidRPr="00AD73C8">
        <w:rPr>
          <w:rFonts w:ascii="Marianne" w:hAnsi="Marianne"/>
        </w:rPr>
        <w:t xml:space="preserve">la circulaire </w:t>
      </w:r>
      <w:r w:rsidR="000B0C32" w:rsidRPr="00AD73C8">
        <w:rPr>
          <w:rFonts w:ascii="Marianne" w:hAnsi="Marianne"/>
        </w:rPr>
        <w:t xml:space="preserve">du </w:t>
      </w:r>
      <w:r w:rsidR="00B57055" w:rsidRPr="00AD73C8">
        <w:rPr>
          <w:rFonts w:ascii="Marianne" w:hAnsi="Marianne"/>
        </w:rPr>
        <w:t xml:space="preserve">Premier ministre du 29 septembre 2015 </w:t>
      </w:r>
      <w:r w:rsidR="000B0C32" w:rsidRPr="00AD73C8">
        <w:rPr>
          <w:rFonts w:ascii="Marianne" w:hAnsi="Marianne"/>
        </w:rPr>
        <w:t xml:space="preserve">relative aux </w:t>
      </w:r>
      <w:r w:rsidR="00B57055" w:rsidRPr="00AD73C8">
        <w:rPr>
          <w:rFonts w:ascii="Marianne" w:hAnsi="Marianne"/>
        </w:rPr>
        <w:t xml:space="preserve">nouvelles </w:t>
      </w:r>
      <w:r w:rsidR="000B0C32" w:rsidRPr="00AD73C8">
        <w:rPr>
          <w:rFonts w:ascii="Marianne" w:hAnsi="Marianne"/>
        </w:rPr>
        <w:t>relations entre les pouvoirs publics et les associations</w:t>
      </w:r>
      <w:r w:rsidR="00EC13AE" w:rsidRPr="00AD73C8">
        <w:rPr>
          <w:rFonts w:ascii="Marianne" w:hAnsi="Marianne"/>
        </w:rPr>
        <w:t xml:space="preserve"> </w:t>
      </w:r>
      <w:r w:rsidR="008C4701" w:rsidRPr="00AD73C8">
        <w:rPr>
          <w:rFonts w:ascii="Marianne" w:hAnsi="Marianne"/>
        </w:rPr>
        <w:t xml:space="preserve"> </w:t>
      </w:r>
      <w:r w:rsidR="001C41AF" w:rsidRPr="00AD73C8">
        <w:rPr>
          <w:rFonts w:ascii="Marianne" w:hAnsi="Marianne"/>
        </w:rPr>
        <w:t>p</w:t>
      </w:r>
      <w:r w:rsidR="00EC13AE" w:rsidRPr="00AD73C8">
        <w:rPr>
          <w:rFonts w:ascii="Marianne" w:hAnsi="Marianne"/>
        </w:rPr>
        <w:t xml:space="preserve">révoit </w:t>
      </w:r>
      <w:r w:rsidRPr="00AD73C8">
        <w:rPr>
          <w:rFonts w:ascii="Marianne" w:hAnsi="Marianne"/>
        </w:rPr>
        <w:t xml:space="preserve">également </w:t>
      </w:r>
      <w:r w:rsidR="00EC13AE" w:rsidRPr="00AD73C8">
        <w:rPr>
          <w:rFonts w:ascii="Marianne" w:hAnsi="Marianne"/>
        </w:rPr>
        <w:t>un</w:t>
      </w:r>
      <w:r w:rsidR="000B0C32" w:rsidRPr="00AD73C8">
        <w:rPr>
          <w:rFonts w:ascii="Marianne" w:hAnsi="Marianne"/>
        </w:rPr>
        <w:t xml:space="preserve"> </w:t>
      </w:r>
      <w:r w:rsidR="000B0C32" w:rsidRPr="00AD73C8">
        <w:rPr>
          <w:rFonts w:ascii="Marianne" w:hAnsi="Marianne"/>
          <w:b/>
        </w:rPr>
        <w:t>dispositif de contrôle du niveau de contribution publique par l</w:t>
      </w:r>
      <w:r w:rsidR="00EA3115" w:rsidRPr="00AD73C8">
        <w:rPr>
          <w:rFonts w:ascii="Marianne" w:hAnsi="Marianne"/>
          <w:b/>
        </w:rPr>
        <w:t>a collectivité</w:t>
      </w:r>
      <w:r w:rsidR="00C20FFA" w:rsidRPr="00AD73C8">
        <w:rPr>
          <w:rStyle w:val="Appelnotedebasdep"/>
          <w:rFonts w:ascii="Marianne" w:hAnsi="Marianne"/>
        </w:rPr>
        <w:footnoteReference w:id="13"/>
      </w:r>
      <w:r w:rsidR="000B0C32" w:rsidRPr="00AD73C8">
        <w:rPr>
          <w:rFonts w:ascii="Marianne" w:hAnsi="Marianne"/>
        </w:rPr>
        <w:t xml:space="preserve">, pouvant aboutir au reversement </w:t>
      </w:r>
      <w:r w:rsidR="00CD667D" w:rsidRPr="00AD73C8">
        <w:rPr>
          <w:rFonts w:ascii="Marianne" w:hAnsi="Marianne"/>
        </w:rPr>
        <w:t xml:space="preserve">d’une partie de la subvention </w:t>
      </w:r>
      <w:r w:rsidR="00CD667D" w:rsidRPr="00AD73C8">
        <w:rPr>
          <w:rFonts w:ascii="Marianne" w:hAnsi="Marianne"/>
          <w:b/>
        </w:rPr>
        <w:t>s</w:t>
      </w:r>
      <w:r w:rsidR="00EA3115" w:rsidRPr="00AD73C8">
        <w:rPr>
          <w:rFonts w:ascii="Marianne" w:hAnsi="Marianne"/>
          <w:b/>
        </w:rPr>
        <w:t>’</w:t>
      </w:r>
      <w:r w:rsidR="00CD667D" w:rsidRPr="00AD73C8">
        <w:rPr>
          <w:rFonts w:ascii="Marianne" w:hAnsi="Marianne"/>
          <w:b/>
        </w:rPr>
        <w:t>il</w:t>
      </w:r>
      <w:r w:rsidR="00EA3115" w:rsidRPr="00AD73C8">
        <w:rPr>
          <w:rFonts w:ascii="Marianne" w:hAnsi="Marianne"/>
          <w:b/>
        </w:rPr>
        <w:t xml:space="preserve"> </w:t>
      </w:r>
      <w:r w:rsidR="00CD667D" w:rsidRPr="00AD73C8">
        <w:rPr>
          <w:rFonts w:ascii="Marianne" w:hAnsi="Marianne"/>
          <w:b/>
        </w:rPr>
        <w:t>est constaté qu’elle excède ce qui est nécessaire à l’exécution des obligations de service public</w:t>
      </w:r>
      <w:r w:rsidR="00CD667D" w:rsidRPr="00AD73C8">
        <w:rPr>
          <w:rFonts w:ascii="Marianne" w:hAnsi="Marianne"/>
        </w:rPr>
        <w:t>.</w:t>
      </w:r>
    </w:p>
    <w:p w:rsidR="00EC2813" w:rsidRPr="00AD73C8" w:rsidRDefault="00EC2813" w:rsidP="004D5494">
      <w:pPr>
        <w:jc w:val="both"/>
        <w:rPr>
          <w:rFonts w:ascii="Marianne" w:hAnsi="Marianne"/>
        </w:rPr>
      </w:pPr>
      <w:r w:rsidRPr="00AD73C8">
        <w:rPr>
          <w:rFonts w:ascii="Marianne" w:hAnsi="Marianne"/>
        </w:rPr>
        <w:t>Au-delà de ces mécanismes de contrôle et de récupération d’éventuelles surcompensations</w:t>
      </w:r>
      <w:r w:rsidR="002465A0" w:rsidRPr="00AD73C8">
        <w:rPr>
          <w:rFonts w:ascii="Marianne" w:hAnsi="Marianne"/>
        </w:rPr>
        <w:t xml:space="preserve"> fixés dans le mandat</w:t>
      </w:r>
      <w:r w:rsidRPr="00AD73C8">
        <w:rPr>
          <w:rFonts w:ascii="Marianne" w:hAnsi="Marianne"/>
        </w:rPr>
        <w:t xml:space="preserve">, les collectivités publiques doivent procéder à des </w:t>
      </w:r>
      <w:r w:rsidRPr="00AD73C8">
        <w:rPr>
          <w:rFonts w:ascii="Marianne" w:hAnsi="Marianne"/>
          <w:b/>
        </w:rPr>
        <w:t>contrôles réguliers</w:t>
      </w:r>
      <w:r w:rsidRPr="00AD73C8">
        <w:rPr>
          <w:rFonts w:ascii="Marianne" w:hAnsi="Marianne"/>
        </w:rPr>
        <w:t>. Ainsi la décision</w:t>
      </w:r>
      <w:r w:rsidR="00057D59" w:rsidRPr="00AD73C8">
        <w:rPr>
          <w:rFonts w:ascii="Marianne" w:hAnsi="Marianne"/>
        </w:rPr>
        <w:t xml:space="preserve"> et l’encadrement</w:t>
      </w:r>
      <w:r w:rsidRPr="00AD73C8">
        <w:rPr>
          <w:rFonts w:ascii="Marianne" w:hAnsi="Marianne"/>
        </w:rPr>
        <w:t xml:space="preserve"> impose</w:t>
      </w:r>
      <w:r w:rsidR="00057D59" w:rsidRPr="00AD73C8">
        <w:rPr>
          <w:rFonts w:ascii="Marianne" w:hAnsi="Marianne"/>
        </w:rPr>
        <w:t>nt</w:t>
      </w:r>
      <w:r w:rsidRPr="00AD73C8">
        <w:rPr>
          <w:rFonts w:ascii="Marianne" w:hAnsi="Marianne"/>
        </w:rPr>
        <w:t xml:space="preserve"> un contrôle tous les </w:t>
      </w:r>
      <w:r w:rsidR="009027A0" w:rsidRPr="00AD73C8">
        <w:rPr>
          <w:rFonts w:ascii="Marianne" w:hAnsi="Marianne"/>
        </w:rPr>
        <w:t>trois</w:t>
      </w:r>
      <w:r w:rsidRPr="00AD73C8">
        <w:rPr>
          <w:rFonts w:ascii="Marianne" w:hAnsi="Marianne"/>
        </w:rPr>
        <w:t xml:space="preserve"> ans au minimum en cours d’exécution du mandat et à son terme.</w:t>
      </w:r>
    </w:p>
    <w:sectPr w:rsidR="00EC2813" w:rsidRPr="00AD73C8" w:rsidSect="00CD3D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7A0" w:rsidRDefault="009027A0" w:rsidP="00C36252">
      <w:pPr>
        <w:spacing w:after="0" w:line="240" w:lineRule="auto"/>
      </w:pPr>
      <w:r>
        <w:separator/>
      </w:r>
    </w:p>
  </w:endnote>
  <w:endnote w:type="continuationSeparator" w:id="0">
    <w:p w:rsidR="009027A0" w:rsidRDefault="009027A0" w:rsidP="00C3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auto"/>
    <w:notTrueType/>
    <w:pitch w:val="default"/>
    <w:sig w:usb0="00000003" w:usb1="00000000" w:usb2="00000000" w:usb3="00000000" w:csb0="00000001" w:csb1="00000000"/>
  </w:font>
  <w:font w:name="HelveticaNeueLTStd-MdCn">
    <w:panose1 w:val="00000000000000000000"/>
    <w:charset w:val="00"/>
    <w:family w:val="auto"/>
    <w:notTrueType/>
    <w:pitch w:val="default"/>
    <w:sig w:usb0="00000003" w:usb1="00000000" w:usb2="00000000" w:usb3="00000000" w:csb0="00000001" w:csb1="00000000"/>
  </w:font>
  <w:font w:name="HelveticaNeueLTStd-C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7A0" w:rsidRDefault="00A843C6">
    <w:pPr>
      <w:pStyle w:val="Pieddepage"/>
      <w:jc w:val="right"/>
    </w:pPr>
    <w:r>
      <w:fldChar w:fldCharType="begin"/>
    </w:r>
    <w:r>
      <w:instrText xml:space="preserve"> PAGE   \* MERGEFORMAT </w:instrText>
    </w:r>
    <w:r>
      <w:fldChar w:fldCharType="separate"/>
    </w:r>
    <w:r w:rsidR="00DE1171">
      <w:rPr>
        <w:noProof/>
      </w:rPr>
      <w:t>1</w:t>
    </w:r>
    <w:r>
      <w:rPr>
        <w:noProof/>
      </w:rPr>
      <w:fldChar w:fldCharType="end"/>
    </w:r>
  </w:p>
  <w:p w:rsidR="009027A0" w:rsidRDefault="009027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7A0" w:rsidRDefault="009027A0" w:rsidP="00C36252">
      <w:pPr>
        <w:spacing w:after="0" w:line="240" w:lineRule="auto"/>
      </w:pPr>
      <w:r>
        <w:separator/>
      </w:r>
    </w:p>
  </w:footnote>
  <w:footnote w:type="continuationSeparator" w:id="0">
    <w:p w:rsidR="009027A0" w:rsidRDefault="009027A0" w:rsidP="00C36252">
      <w:pPr>
        <w:spacing w:after="0" w:line="240" w:lineRule="auto"/>
      </w:pPr>
      <w:r>
        <w:continuationSeparator/>
      </w:r>
    </w:p>
  </w:footnote>
  <w:footnote w:id="1">
    <w:p w:rsidR="009027A0" w:rsidRPr="00A843C6" w:rsidRDefault="009027A0" w:rsidP="00FA3554">
      <w:pPr>
        <w:pStyle w:val="Notedebasdepage"/>
        <w:jc w:val="both"/>
        <w:rPr>
          <w:rFonts w:ascii="Marianne" w:hAnsi="Marianne"/>
        </w:rPr>
      </w:pPr>
      <w:r w:rsidRPr="00A843C6">
        <w:rPr>
          <w:rStyle w:val="Appelnotedebasdep"/>
          <w:rFonts w:ascii="Marianne" w:hAnsi="Marianne"/>
        </w:rPr>
        <w:footnoteRef/>
      </w:r>
      <w:r w:rsidRPr="00A843C6">
        <w:rPr>
          <w:rFonts w:ascii="Marianne" w:hAnsi="Marianne"/>
        </w:rPr>
        <w:t xml:space="preserve"> Communication de la Commission du 20 décembre 2011 n° 2012/C 8/02 relative à l’application des règles de l’Union européenne en matière d’aides d’Etat aux compensations octroyées pour la prestation de services d’intérêt économique général, point 45.</w:t>
      </w:r>
    </w:p>
  </w:footnote>
  <w:footnote w:id="2">
    <w:p w:rsidR="009027A0" w:rsidRPr="00A843C6" w:rsidRDefault="009027A0">
      <w:pPr>
        <w:pStyle w:val="Notedebasdepage"/>
        <w:rPr>
          <w:rFonts w:ascii="Marianne" w:hAnsi="Marianne"/>
        </w:rPr>
      </w:pPr>
      <w:r w:rsidRPr="00A843C6">
        <w:rPr>
          <w:rStyle w:val="Appelnotedebasdep"/>
          <w:rFonts w:ascii="Marianne" w:hAnsi="Marianne"/>
        </w:rPr>
        <w:footnoteRef/>
      </w:r>
      <w:r w:rsidRPr="00A843C6">
        <w:rPr>
          <w:rFonts w:ascii="Marianne" w:hAnsi="Marianne"/>
        </w:rPr>
        <w:t xml:space="preserve"> CJCE, 18 juin 1998, </w:t>
      </w:r>
      <w:r w:rsidRPr="00A843C6">
        <w:rPr>
          <w:rFonts w:ascii="Marianne" w:hAnsi="Marianne"/>
          <w:i/>
        </w:rPr>
        <w:t>Commission contre Italie</w:t>
      </w:r>
      <w:r w:rsidRPr="00A843C6">
        <w:rPr>
          <w:rFonts w:ascii="Marianne" w:hAnsi="Marianne"/>
        </w:rPr>
        <w:t>, n° C-35/96.</w:t>
      </w:r>
    </w:p>
  </w:footnote>
  <w:footnote w:id="3">
    <w:p w:rsidR="009027A0" w:rsidRPr="00457492" w:rsidRDefault="009027A0" w:rsidP="00CA2EEA">
      <w:pPr>
        <w:pStyle w:val="Notedebasdepage"/>
        <w:jc w:val="both"/>
        <w:rPr>
          <w:sz w:val="18"/>
          <w:szCs w:val="18"/>
        </w:rPr>
      </w:pPr>
      <w:r w:rsidRPr="00A843C6">
        <w:rPr>
          <w:rStyle w:val="Appelnotedebasdep"/>
          <w:rFonts w:ascii="Marianne" w:hAnsi="Marianne"/>
        </w:rPr>
        <w:footnoteRef/>
      </w:r>
      <w:r w:rsidRPr="00A843C6">
        <w:rPr>
          <w:rFonts w:ascii="Marianne" w:hAnsi="Marianne"/>
        </w:rPr>
        <w:t xml:space="preserve"> Cette définition jurisprudentielle est rappelée au point 9 de la Communication du 20 décembre 2011. Elle figure par ailleurs à l’annexe I du règlement UE n° 651/2014 de la Commission du 17 juin 2014 déclarant certaines catégories d’aides compatibles avec le marché intérieur en application des articles 107 et 108 du traité (dit RGEC).</w:t>
      </w:r>
    </w:p>
  </w:footnote>
  <w:footnote w:id="4">
    <w:p w:rsidR="009027A0" w:rsidRPr="00A843C6" w:rsidRDefault="009027A0" w:rsidP="00A843C6">
      <w:pPr>
        <w:pStyle w:val="Notedebasdepage"/>
        <w:jc w:val="both"/>
        <w:rPr>
          <w:rFonts w:ascii="Marianne" w:hAnsi="Marianne"/>
        </w:rPr>
      </w:pPr>
      <w:r w:rsidRPr="00A843C6">
        <w:rPr>
          <w:rStyle w:val="Appelnotedebasdep"/>
          <w:rFonts w:ascii="Marianne" w:hAnsi="Marianne"/>
        </w:rPr>
        <w:footnoteRef/>
      </w:r>
      <w:r w:rsidRPr="00A843C6">
        <w:rPr>
          <w:rFonts w:ascii="Marianne" w:hAnsi="Marianne"/>
        </w:rPr>
        <w:t xml:space="preserve"> CJCE, 19 janvier 1999, </w:t>
      </w:r>
      <w:r w:rsidRPr="00A843C6">
        <w:rPr>
          <w:rFonts w:ascii="Marianne" w:hAnsi="Marianne"/>
          <w:i/>
        </w:rPr>
        <w:t>SAT contre Eurocontrol</w:t>
      </w:r>
      <w:r w:rsidRPr="00A843C6">
        <w:rPr>
          <w:rFonts w:ascii="Marianne" w:hAnsi="Marianne"/>
        </w:rPr>
        <w:t xml:space="preserve">, </w:t>
      </w:r>
      <w:r w:rsidR="00ED42D3" w:rsidRPr="00A843C6">
        <w:rPr>
          <w:rFonts w:ascii="Marianne" w:hAnsi="Marianne"/>
        </w:rPr>
        <w:t>n</w:t>
      </w:r>
      <w:r w:rsidRPr="00A843C6">
        <w:rPr>
          <w:rFonts w:ascii="Marianne" w:hAnsi="Marianne"/>
        </w:rPr>
        <w:t>° C-364/92.</w:t>
      </w:r>
    </w:p>
  </w:footnote>
  <w:footnote w:id="5">
    <w:p w:rsidR="009027A0" w:rsidRPr="00A843C6" w:rsidRDefault="009027A0" w:rsidP="00A843C6">
      <w:pPr>
        <w:pStyle w:val="Notedebasdepage"/>
        <w:jc w:val="both"/>
        <w:rPr>
          <w:rFonts w:ascii="Marianne" w:hAnsi="Marianne"/>
        </w:rPr>
      </w:pPr>
      <w:r w:rsidRPr="00A843C6">
        <w:rPr>
          <w:rStyle w:val="Appelnotedebasdep"/>
          <w:rFonts w:ascii="Marianne" w:hAnsi="Marianne"/>
        </w:rPr>
        <w:footnoteRef/>
      </w:r>
      <w:r w:rsidRPr="00A843C6">
        <w:rPr>
          <w:rFonts w:ascii="Marianne" w:hAnsi="Marianne"/>
        </w:rPr>
        <w:t xml:space="preserve"> CJCE, 17 février 2003, </w:t>
      </w:r>
      <w:r w:rsidRPr="00A843C6">
        <w:rPr>
          <w:rFonts w:ascii="Marianne" w:hAnsi="Marianne"/>
          <w:i/>
        </w:rPr>
        <w:t>Poucet et Pistre</w:t>
      </w:r>
      <w:r w:rsidRPr="00A843C6">
        <w:rPr>
          <w:rFonts w:ascii="Marianne" w:hAnsi="Marianne"/>
        </w:rPr>
        <w:t>, n°C-159/91 et C-160/91.</w:t>
      </w:r>
    </w:p>
  </w:footnote>
  <w:footnote w:id="6">
    <w:p w:rsidR="009027A0" w:rsidRPr="00A843C6" w:rsidRDefault="009027A0" w:rsidP="00A843C6">
      <w:pPr>
        <w:pStyle w:val="Notedebasdepage"/>
        <w:jc w:val="both"/>
        <w:rPr>
          <w:rFonts w:ascii="Marianne" w:hAnsi="Marianne"/>
        </w:rPr>
      </w:pPr>
      <w:r w:rsidRPr="00A843C6">
        <w:rPr>
          <w:rStyle w:val="Appelnotedebasdep"/>
          <w:rFonts w:ascii="Marianne" w:hAnsi="Marianne"/>
        </w:rPr>
        <w:footnoteRef/>
      </w:r>
      <w:r w:rsidRPr="00A843C6">
        <w:rPr>
          <w:rFonts w:ascii="Marianne" w:hAnsi="Marianne"/>
        </w:rPr>
        <w:t xml:space="preserve"> CJCE, 27 avril 1994, </w:t>
      </w:r>
      <w:r w:rsidRPr="00A843C6">
        <w:rPr>
          <w:rFonts w:ascii="Marianne" w:hAnsi="Marianne"/>
          <w:i/>
        </w:rPr>
        <w:t>Commune d’Almelo</w:t>
      </w:r>
      <w:r w:rsidRPr="00A843C6">
        <w:rPr>
          <w:rFonts w:ascii="Marianne" w:hAnsi="Marianne"/>
        </w:rPr>
        <w:t>, n° C-393/92.</w:t>
      </w:r>
    </w:p>
  </w:footnote>
  <w:footnote w:id="7">
    <w:p w:rsidR="009027A0" w:rsidRPr="00457492" w:rsidRDefault="009027A0" w:rsidP="00A843C6">
      <w:pPr>
        <w:pStyle w:val="Notedebasdepage"/>
        <w:jc w:val="both"/>
        <w:rPr>
          <w:sz w:val="18"/>
          <w:szCs w:val="18"/>
        </w:rPr>
      </w:pPr>
      <w:r w:rsidRPr="00A843C6">
        <w:rPr>
          <w:rStyle w:val="Appelnotedebasdep"/>
          <w:rFonts w:ascii="Marianne" w:hAnsi="Marianne"/>
        </w:rPr>
        <w:footnoteRef/>
      </w:r>
      <w:r w:rsidRPr="00A843C6">
        <w:rPr>
          <w:rFonts w:ascii="Marianne" w:hAnsi="Marianne"/>
        </w:rPr>
        <w:t xml:space="preserve"> Communication de la Commission du 20 décembre 2011 n° 2012/C 8/02 relative à l’application des règles de l’Union européenne en matière d’aides d’Etat aux compensations octroyées pour la prestation de services d’intérêt économique général, point 50.</w:t>
      </w:r>
    </w:p>
  </w:footnote>
  <w:footnote w:id="8">
    <w:p w:rsidR="009027A0" w:rsidRPr="00A843C6" w:rsidRDefault="009027A0" w:rsidP="006A095A">
      <w:pPr>
        <w:pStyle w:val="Notedebasdepage"/>
        <w:jc w:val="both"/>
        <w:rPr>
          <w:rFonts w:ascii="Marianne" w:hAnsi="Marianne"/>
        </w:rPr>
      </w:pPr>
      <w:r w:rsidRPr="00A843C6">
        <w:rPr>
          <w:rStyle w:val="Appelnotedebasdep"/>
          <w:rFonts w:ascii="Marianne" w:hAnsi="Marianne"/>
        </w:rPr>
        <w:footnoteRef/>
      </w:r>
      <w:r w:rsidRPr="00A843C6">
        <w:rPr>
          <w:rFonts w:ascii="Marianne" w:hAnsi="Marianne"/>
        </w:rPr>
        <w:t xml:space="preserve"> C'est-à-dire le confier à un cocontractant sur lequel elle exerce un contrôle analogue à celui qu’elle assure sur ses propres services, et qui réalise l’essentiel de ses activités pour elle.</w:t>
      </w:r>
    </w:p>
  </w:footnote>
  <w:footnote w:id="9">
    <w:p w:rsidR="009027A0" w:rsidRPr="00A843C6" w:rsidRDefault="009027A0" w:rsidP="0020772E">
      <w:pPr>
        <w:pStyle w:val="Notedebasdepage"/>
        <w:jc w:val="both"/>
        <w:rPr>
          <w:rFonts w:ascii="Marianne" w:hAnsi="Marianne"/>
        </w:rPr>
      </w:pPr>
      <w:r w:rsidRPr="00A843C6">
        <w:rPr>
          <w:rStyle w:val="Appelnotedebasdep"/>
          <w:rFonts w:ascii="Marianne" w:hAnsi="Marianne"/>
        </w:rPr>
        <w:footnoteRef/>
      </w:r>
      <w:r w:rsidRPr="00A843C6">
        <w:rPr>
          <w:rFonts w:ascii="Marianne" w:hAnsi="Marianne"/>
        </w:rPr>
        <w:t xml:space="preserve"> Il s’agit des articles L.2121-29, L2251-3, L.2251-3-1 et L.2311-7 pour les communes, L3211-1, L.3231-3-1 et L.3312-7 pour les départements, L4221-1, L4253-5 et L4311-2 pour les régions. </w:t>
      </w:r>
    </w:p>
  </w:footnote>
  <w:footnote w:id="10">
    <w:p w:rsidR="009027A0" w:rsidRPr="00A843C6" w:rsidRDefault="009027A0" w:rsidP="0022646F">
      <w:pPr>
        <w:pStyle w:val="Notedebasdepage"/>
        <w:jc w:val="both"/>
        <w:rPr>
          <w:rFonts w:ascii="Marianne" w:hAnsi="Marianne"/>
        </w:rPr>
      </w:pPr>
      <w:r w:rsidRPr="00A843C6">
        <w:rPr>
          <w:rStyle w:val="Appelnotedebasdep"/>
          <w:rFonts w:ascii="Marianne" w:hAnsi="Marianne"/>
        </w:rPr>
        <w:footnoteRef/>
      </w:r>
      <w:r w:rsidRPr="00A843C6">
        <w:rPr>
          <w:rFonts w:ascii="Marianne" w:hAnsi="Marianne"/>
        </w:rPr>
        <w:t xml:space="preserve"> La circulaire du Premier ministre du 29 septembre 2015 relative aux nouvelles relations entre les pouvoirs publics et les associations, n° NOR</w:t>
      </w:r>
      <w:r w:rsidRPr="00A843C6">
        <w:rPr>
          <w:rFonts w:ascii="Calibri" w:hAnsi="Calibri" w:cs="Calibri"/>
        </w:rPr>
        <w:t> </w:t>
      </w:r>
      <w:r w:rsidRPr="00A843C6">
        <w:rPr>
          <w:rFonts w:ascii="Marianne" w:hAnsi="Marianne"/>
        </w:rPr>
        <w:t>: PRMX1523174C, précise, notamment en son annexe 1, les règles encadrant les relations financières entre collectivités publiques et associations.</w:t>
      </w:r>
    </w:p>
  </w:footnote>
  <w:footnote w:id="11">
    <w:p w:rsidR="009027A0" w:rsidRPr="00457492" w:rsidRDefault="009027A0" w:rsidP="008E6394">
      <w:pPr>
        <w:pStyle w:val="Notedebasdepage"/>
        <w:jc w:val="both"/>
        <w:rPr>
          <w:sz w:val="18"/>
          <w:szCs w:val="18"/>
        </w:rPr>
      </w:pPr>
      <w:r w:rsidRPr="00A843C6">
        <w:rPr>
          <w:rStyle w:val="Appelnotedebasdep"/>
          <w:rFonts w:ascii="Marianne" w:hAnsi="Marianne"/>
        </w:rPr>
        <w:footnoteRef/>
      </w:r>
      <w:r w:rsidRPr="00A843C6">
        <w:rPr>
          <w:rFonts w:ascii="Marianne" w:hAnsi="Marianne"/>
        </w:rPr>
        <w:t xml:space="preserve"> Cette liste d’exemples rappelés par la Commission aux points 32 à 36 de la communication «</w:t>
      </w:r>
      <w:r w:rsidRPr="00A843C6">
        <w:rPr>
          <w:rFonts w:ascii="Calibri" w:hAnsi="Calibri" w:cs="Calibri"/>
        </w:rPr>
        <w:t> </w:t>
      </w:r>
      <w:r w:rsidRPr="00A843C6">
        <w:rPr>
          <w:rFonts w:ascii="Marianne" w:hAnsi="Marianne"/>
        </w:rPr>
        <w:t>Almunia</w:t>
      </w:r>
      <w:r w:rsidRPr="00A843C6">
        <w:rPr>
          <w:rFonts w:ascii="Calibri" w:hAnsi="Calibri" w:cs="Calibri"/>
        </w:rPr>
        <w:t> </w:t>
      </w:r>
      <w:r w:rsidRPr="00A843C6">
        <w:rPr>
          <w:rFonts w:ascii="Marianne" w:hAnsi="Marianne" w:cs="Marianne"/>
        </w:rPr>
        <w:t>»</w:t>
      </w:r>
      <w:r w:rsidRPr="00A843C6">
        <w:rPr>
          <w:rFonts w:ascii="Marianne" w:hAnsi="Marianne"/>
        </w:rPr>
        <w:t xml:space="preserve"> n’est pas exhaustive.</w:t>
      </w:r>
      <w:r w:rsidRPr="00457492">
        <w:rPr>
          <w:sz w:val="18"/>
          <w:szCs w:val="18"/>
        </w:rPr>
        <w:t xml:space="preserve">  </w:t>
      </w:r>
    </w:p>
  </w:footnote>
  <w:footnote w:id="12">
    <w:p w:rsidR="009027A0" w:rsidRPr="00A843C6" w:rsidRDefault="009027A0" w:rsidP="003B5967">
      <w:pPr>
        <w:pStyle w:val="Notedebasdepage"/>
        <w:jc w:val="both"/>
        <w:rPr>
          <w:rFonts w:ascii="Marianne" w:hAnsi="Marianne"/>
        </w:rPr>
      </w:pPr>
      <w:r w:rsidRPr="00A843C6">
        <w:rPr>
          <w:rFonts w:ascii="Marianne" w:hAnsi="Marianne"/>
          <w:color w:val="000000"/>
          <w:vertAlign w:val="superscript"/>
        </w:rPr>
        <w:footnoteRef/>
      </w:r>
      <w:r w:rsidRPr="00A843C6">
        <w:rPr>
          <w:rFonts w:ascii="Marianne" w:hAnsi="Marianne"/>
          <w:color w:val="000000"/>
        </w:rPr>
        <w:t xml:space="preserve"> Voir, pour davantage de précisions quant au taux de rendement du capital et à la possibilité de se fonder sur d’autres indicateurs du bénéfice, l’article 5§7 et 8 de la décision </w:t>
      </w:r>
      <w:r w:rsidRPr="00A843C6">
        <w:rPr>
          <w:rFonts w:ascii="Marianne" w:hAnsi="Marianne"/>
          <w:i/>
          <w:color w:val="000000"/>
        </w:rPr>
        <w:t>Almunia</w:t>
      </w:r>
      <w:r w:rsidRPr="00A843C6">
        <w:rPr>
          <w:rFonts w:ascii="Marianne" w:hAnsi="Marianne"/>
          <w:color w:val="000000"/>
        </w:rPr>
        <w:t>.</w:t>
      </w:r>
    </w:p>
  </w:footnote>
  <w:footnote w:id="13">
    <w:p w:rsidR="009027A0" w:rsidRPr="009027A0" w:rsidRDefault="009027A0" w:rsidP="00C20FFA">
      <w:pPr>
        <w:pStyle w:val="Notedebasdepage"/>
        <w:jc w:val="both"/>
        <w:rPr>
          <w:sz w:val="18"/>
          <w:szCs w:val="18"/>
        </w:rPr>
      </w:pPr>
      <w:r w:rsidRPr="00A843C6">
        <w:rPr>
          <w:rStyle w:val="Appelnotedebasdep"/>
          <w:rFonts w:ascii="Marianne" w:hAnsi="Marianne"/>
        </w:rPr>
        <w:footnoteRef/>
      </w:r>
      <w:r w:rsidRPr="00A843C6">
        <w:rPr>
          <w:rFonts w:ascii="Marianne" w:hAnsi="Marianne"/>
        </w:rPr>
        <w:t xml:space="preserve"> Circulaire du Premier ministre du 29 septembre 2015 relative aux nouvelles relations entre les pouvoirs publics et les associations, n° NOR</w:t>
      </w:r>
      <w:r w:rsidRPr="00A843C6">
        <w:rPr>
          <w:rFonts w:ascii="Calibri" w:hAnsi="Calibri" w:cs="Calibri"/>
        </w:rPr>
        <w:t> </w:t>
      </w:r>
      <w:r w:rsidRPr="00A843C6">
        <w:rPr>
          <w:rFonts w:ascii="Marianne" w:hAnsi="Marianne"/>
        </w:rPr>
        <w:t>: PRMX1523174C, précitée.</w:t>
      </w:r>
      <w:r w:rsidRPr="00A843C6">
        <w:rPr>
          <w:rFonts w:ascii="Calibri" w:hAnsi="Calibri" w:cs="Calibri"/>
        </w:rPr>
        <w:t> </w:t>
      </w:r>
      <w:r w:rsidRPr="00A843C6">
        <w:rPr>
          <w:rFonts w:ascii="Marianne" w:hAnsi="Marianne"/>
        </w:rPr>
        <w:t>Le modèle de convention annexé à la circulaire précédente du 18 janvier 2010 relative aux relations entre les pouvoirs publics et les associations prévoyait déjà ce dispositif. Les financements accordés dans ce cadre conventionnel satisfont donc à cette exigence.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C84"/>
    <w:multiLevelType w:val="hybridMultilevel"/>
    <w:tmpl w:val="A678EB32"/>
    <w:lvl w:ilvl="0" w:tplc="1B387E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F77072"/>
    <w:multiLevelType w:val="hybridMultilevel"/>
    <w:tmpl w:val="F176E67E"/>
    <w:lvl w:ilvl="0" w:tplc="2340CD3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6D7F77"/>
    <w:multiLevelType w:val="hybridMultilevel"/>
    <w:tmpl w:val="A46662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D8055C"/>
    <w:multiLevelType w:val="hybridMultilevel"/>
    <w:tmpl w:val="52424716"/>
    <w:lvl w:ilvl="0" w:tplc="606EDE5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A96D53"/>
    <w:multiLevelType w:val="hybridMultilevel"/>
    <w:tmpl w:val="30C0B052"/>
    <w:lvl w:ilvl="0" w:tplc="403833A2">
      <w:start w:val="107"/>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B409B5"/>
    <w:multiLevelType w:val="hybridMultilevel"/>
    <w:tmpl w:val="BB1E0AC6"/>
    <w:lvl w:ilvl="0" w:tplc="8F0897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E324D1"/>
    <w:multiLevelType w:val="hybridMultilevel"/>
    <w:tmpl w:val="591CF294"/>
    <w:lvl w:ilvl="0" w:tplc="77C8C08E">
      <w:numFmt w:val="bullet"/>
      <w:lvlText w:val="-"/>
      <w:lvlJc w:val="left"/>
      <w:pPr>
        <w:ind w:left="1500" w:hanging="360"/>
      </w:pPr>
      <w:rPr>
        <w:rFonts w:ascii="Times New Roman" w:eastAsia="Times New Roman" w:hAnsi="Times New Roman"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7" w15:restartNumberingAfterBreak="0">
    <w:nsid w:val="3D872C36"/>
    <w:multiLevelType w:val="hybridMultilevel"/>
    <w:tmpl w:val="F0DA83A6"/>
    <w:lvl w:ilvl="0" w:tplc="D6B450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F5238F"/>
    <w:multiLevelType w:val="hybridMultilevel"/>
    <w:tmpl w:val="BC0EFE40"/>
    <w:lvl w:ilvl="0" w:tplc="77C8C08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11A10E0"/>
    <w:multiLevelType w:val="hybridMultilevel"/>
    <w:tmpl w:val="88664286"/>
    <w:lvl w:ilvl="0" w:tplc="F2E0137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1E2024"/>
    <w:multiLevelType w:val="hybridMultilevel"/>
    <w:tmpl w:val="0EF63DF0"/>
    <w:lvl w:ilvl="0" w:tplc="EA683D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564CE0"/>
    <w:multiLevelType w:val="hybridMultilevel"/>
    <w:tmpl w:val="F54887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807AA6"/>
    <w:multiLevelType w:val="hybridMultilevel"/>
    <w:tmpl w:val="E36AFDD8"/>
    <w:lvl w:ilvl="0" w:tplc="5A7488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F846A5E"/>
    <w:multiLevelType w:val="hybridMultilevel"/>
    <w:tmpl w:val="BBD0CB56"/>
    <w:lvl w:ilvl="0" w:tplc="77C8C08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7AF4F78"/>
    <w:multiLevelType w:val="hybridMultilevel"/>
    <w:tmpl w:val="3C283F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BA4D40"/>
    <w:multiLevelType w:val="hybridMultilevel"/>
    <w:tmpl w:val="DD3CDC6C"/>
    <w:lvl w:ilvl="0" w:tplc="A22E322A">
      <w:start w:val="107"/>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10"/>
  </w:num>
  <w:num w:numId="5">
    <w:abstractNumId w:val="9"/>
  </w:num>
  <w:num w:numId="6">
    <w:abstractNumId w:val="1"/>
  </w:num>
  <w:num w:numId="7">
    <w:abstractNumId w:val="3"/>
  </w:num>
  <w:num w:numId="8">
    <w:abstractNumId w:val="7"/>
  </w:num>
  <w:num w:numId="9">
    <w:abstractNumId w:val="12"/>
  </w:num>
  <w:num w:numId="10">
    <w:abstractNumId w:val="15"/>
  </w:num>
  <w:num w:numId="11">
    <w:abstractNumId w:val="4"/>
  </w:num>
  <w:num w:numId="12">
    <w:abstractNumId w:val="2"/>
  </w:num>
  <w:num w:numId="13">
    <w:abstractNumId w:val="13"/>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3E"/>
    <w:rsid w:val="00000EE5"/>
    <w:rsid w:val="00000FA8"/>
    <w:rsid w:val="000010FA"/>
    <w:rsid w:val="00002A67"/>
    <w:rsid w:val="0000501C"/>
    <w:rsid w:val="00006903"/>
    <w:rsid w:val="00012E87"/>
    <w:rsid w:val="000166A6"/>
    <w:rsid w:val="000209DB"/>
    <w:rsid w:val="00020F46"/>
    <w:rsid w:val="0002400F"/>
    <w:rsid w:val="0002520A"/>
    <w:rsid w:val="00026C5B"/>
    <w:rsid w:val="000318D1"/>
    <w:rsid w:val="00034796"/>
    <w:rsid w:val="00036DE4"/>
    <w:rsid w:val="000418E1"/>
    <w:rsid w:val="00042B63"/>
    <w:rsid w:val="00043193"/>
    <w:rsid w:val="00044EE1"/>
    <w:rsid w:val="00044F69"/>
    <w:rsid w:val="00045387"/>
    <w:rsid w:val="000514CB"/>
    <w:rsid w:val="0005150B"/>
    <w:rsid w:val="0005164A"/>
    <w:rsid w:val="0005289A"/>
    <w:rsid w:val="000532EF"/>
    <w:rsid w:val="0005345B"/>
    <w:rsid w:val="00053926"/>
    <w:rsid w:val="00053C5E"/>
    <w:rsid w:val="00057D59"/>
    <w:rsid w:val="00060A09"/>
    <w:rsid w:val="00064D94"/>
    <w:rsid w:val="00067A8E"/>
    <w:rsid w:val="00073433"/>
    <w:rsid w:val="000767F3"/>
    <w:rsid w:val="0008605B"/>
    <w:rsid w:val="000920E1"/>
    <w:rsid w:val="00094270"/>
    <w:rsid w:val="00096077"/>
    <w:rsid w:val="000962DC"/>
    <w:rsid w:val="00096832"/>
    <w:rsid w:val="00096E4E"/>
    <w:rsid w:val="00097D70"/>
    <w:rsid w:val="000A4AA0"/>
    <w:rsid w:val="000A4E61"/>
    <w:rsid w:val="000A6D7E"/>
    <w:rsid w:val="000B0C32"/>
    <w:rsid w:val="000B0FCF"/>
    <w:rsid w:val="000B36F5"/>
    <w:rsid w:val="000B3E6E"/>
    <w:rsid w:val="000B634A"/>
    <w:rsid w:val="000B6570"/>
    <w:rsid w:val="000B65D1"/>
    <w:rsid w:val="000B6933"/>
    <w:rsid w:val="000B6ACE"/>
    <w:rsid w:val="000C207E"/>
    <w:rsid w:val="000C252F"/>
    <w:rsid w:val="000C2C7C"/>
    <w:rsid w:val="000C6CE5"/>
    <w:rsid w:val="000D1CDF"/>
    <w:rsid w:val="000D235B"/>
    <w:rsid w:val="000D23C0"/>
    <w:rsid w:val="000D2A0D"/>
    <w:rsid w:val="000D37B9"/>
    <w:rsid w:val="000D39B3"/>
    <w:rsid w:val="000D44C3"/>
    <w:rsid w:val="000D6CEC"/>
    <w:rsid w:val="000E005C"/>
    <w:rsid w:val="000E0F89"/>
    <w:rsid w:val="000E3FBB"/>
    <w:rsid w:val="000E5524"/>
    <w:rsid w:val="000E66B3"/>
    <w:rsid w:val="000F1391"/>
    <w:rsid w:val="000F6073"/>
    <w:rsid w:val="0010285D"/>
    <w:rsid w:val="00105970"/>
    <w:rsid w:val="001064A0"/>
    <w:rsid w:val="00107620"/>
    <w:rsid w:val="00107AD2"/>
    <w:rsid w:val="001128A6"/>
    <w:rsid w:val="00117754"/>
    <w:rsid w:val="00120497"/>
    <w:rsid w:val="00122340"/>
    <w:rsid w:val="0012534C"/>
    <w:rsid w:val="00126EAB"/>
    <w:rsid w:val="001302EC"/>
    <w:rsid w:val="0013070F"/>
    <w:rsid w:val="001310EE"/>
    <w:rsid w:val="00131BF7"/>
    <w:rsid w:val="00134EF5"/>
    <w:rsid w:val="001353F4"/>
    <w:rsid w:val="0014130C"/>
    <w:rsid w:val="001413EF"/>
    <w:rsid w:val="0016134A"/>
    <w:rsid w:val="0016169B"/>
    <w:rsid w:val="0016259E"/>
    <w:rsid w:val="00162BB5"/>
    <w:rsid w:val="001630C6"/>
    <w:rsid w:val="00163283"/>
    <w:rsid w:val="00163EC3"/>
    <w:rsid w:val="00165860"/>
    <w:rsid w:val="00166695"/>
    <w:rsid w:val="001704CB"/>
    <w:rsid w:val="00171055"/>
    <w:rsid w:val="00171C5A"/>
    <w:rsid w:val="00172855"/>
    <w:rsid w:val="00175856"/>
    <w:rsid w:val="00176B09"/>
    <w:rsid w:val="001818AB"/>
    <w:rsid w:val="00184B38"/>
    <w:rsid w:val="001869FE"/>
    <w:rsid w:val="00191A26"/>
    <w:rsid w:val="00193C9F"/>
    <w:rsid w:val="00197D36"/>
    <w:rsid w:val="00197F30"/>
    <w:rsid w:val="001A128E"/>
    <w:rsid w:val="001A1DB0"/>
    <w:rsid w:val="001A231C"/>
    <w:rsid w:val="001A2A54"/>
    <w:rsid w:val="001A5506"/>
    <w:rsid w:val="001A62E9"/>
    <w:rsid w:val="001A718E"/>
    <w:rsid w:val="001A71AB"/>
    <w:rsid w:val="001B0987"/>
    <w:rsid w:val="001B128B"/>
    <w:rsid w:val="001C3535"/>
    <w:rsid w:val="001C41AF"/>
    <w:rsid w:val="001D3245"/>
    <w:rsid w:val="001D668B"/>
    <w:rsid w:val="001E038B"/>
    <w:rsid w:val="001E1C02"/>
    <w:rsid w:val="001E21F6"/>
    <w:rsid w:val="001E38D7"/>
    <w:rsid w:val="001F0884"/>
    <w:rsid w:val="001F4A23"/>
    <w:rsid w:val="002010E0"/>
    <w:rsid w:val="002013BC"/>
    <w:rsid w:val="00202573"/>
    <w:rsid w:val="0020362A"/>
    <w:rsid w:val="0020772E"/>
    <w:rsid w:val="00207DB8"/>
    <w:rsid w:val="0021619E"/>
    <w:rsid w:val="0021746B"/>
    <w:rsid w:val="0022247C"/>
    <w:rsid w:val="00224832"/>
    <w:rsid w:val="00225269"/>
    <w:rsid w:val="0022646F"/>
    <w:rsid w:val="00231CE5"/>
    <w:rsid w:val="00232819"/>
    <w:rsid w:val="00235596"/>
    <w:rsid w:val="002401C0"/>
    <w:rsid w:val="00240DE2"/>
    <w:rsid w:val="00242D84"/>
    <w:rsid w:val="002465A0"/>
    <w:rsid w:val="00246942"/>
    <w:rsid w:val="00250B30"/>
    <w:rsid w:val="0025624F"/>
    <w:rsid w:val="00256AEC"/>
    <w:rsid w:val="00257604"/>
    <w:rsid w:val="002605F7"/>
    <w:rsid w:val="00264A48"/>
    <w:rsid w:val="00274576"/>
    <w:rsid w:val="002758A5"/>
    <w:rsid w:val="00277620"/>
    <w:rsid w:val="00287C01"/>
    <w:rsid w:val="00293CCB"/>
    <w:rsid w:val="002A600E"/>
    <w:rsid w:val="002B0C30"/>
    <w:rsid w:val="002C0E10"/>
    <w:rsid w:val="002C5A5E"/>
    <w:rsid w:val="002C6538"/>
    <w:rsid w:val="002C7E31"/>
    <w:rsid w:val="002D125D"/>
    <w:rsid w:val="002D2BBD"/>
    <w:rsid w:val="002D4D3B"/>
    <w:rsid w:val="002E0525"/>
    <w:rsid w:val="002E1DEC"/>
    <w:rsid w:val="002E3E3B"/>
    <w:rsid w:val="002F09F1"/>
    <w:rsid w:val="002F0C48"/>
    <w:rsid w:val="002F408B"/>
    <w:rsid w:val="002F44D6"/>
    <w:rsid w:val="002F6544"/>
    <w:rsid w:val="002F763E"/>
    <w:rsid w:val="003025FD"/>
    <w:rsid w:val="00302E8E"/>
    <w:rsid w:val="003053DF"/>
    <w:rsid w:val="003103B4"/>
    <w:rsid w:val="003124B7"/>
    <w:rsid w:val="00315A6A"/>
    <w:rsid w:val="00316826"/>
    <w:rsid w:val="00323FE5"/>
    <w:rsid w:val="00326963"/>
    <w:rsid w:val="00327442"/>
    <w:rsid w:val="00330785"/>
    <w:rsid w:val="003311A6"/>
    <w:rsid w:val="003312FF"/>
    <w:rsid w:val="00331580"/>
    <w:rsid w:val="0033164B"/>
    <w:rsid w:val="003342D7"/>
    <w:rsid w:val="00337598"/>
    <w:rsid w:val="00346920"/>
    <w:rsid w:val="00347266"/>
    <w:rsid w:val="00350273"/>
    <w:rsid w:val="00351B7F"/>
    <w:rsid w:val="00353C13"/>
    <w:rsid w:val="0035590A"/>
    <w:rsid w:val="003566E8"/>
    <w:rsid w:val="0035678E"/>
    <w:rsid w:val="0035743C"/>
    <w:rsid w:val="00357A06"/>
    <w:rsid w:val="00372FE8"/>
    <w:rsid w:val="00373C6C"/>
    <w:rsid w:val="00374599"/>
    <w:rsid w:val="003752A2"/>
    <w:rsid w:val="003801A4"/>
    <w:rsid w:val="00380386"/>
    <w:rsid w:val="003810AA"/>
    <w:rsid w:val="00382FAF"/>
    <w:rsid w:val="00383DA9"/>
    <w:rsid w:val="00390A3A"/>
    <w:rsid w:val="00390D0F"/>
    <w:rsid w:val="00394674"/>
    <w:rsid w:val="00396CF7"/>
    <w:rsid w:val="00396F5C"/>
    <w:rsid w:val="003A1330"/>
    <w:rsid w:val="003A36F5"/>
    <w:rsid w:val="003A6912"/>
    <w:rsid w:val="003A72DF"/>
    <w:rsid w:val="003B3569"/>
    <w:rsid w:val="003B4CAC"/>
    <w:rsid w:val="003B5967"/>
    <w:rsid w:val="003C0C85"/>
    <w:rsid w:val="003C133E"/>
    <w:rsid w:val="003C2519"/>
    <w:rsid w:val="003C2C02"/>
    <w:rsid w:val="003C3FF0"/>
    <w:rsid w:val="003C6B37"/>
    <w:rsid w:val="003D3B8C"/>
    <w:rsid w:val="003D609B"/>
    <w:rsid w:val="003D67FC"/>
    <w:rsid w:val="003F2A70"/>
    <w:rsid w:val="003F3F14"/>
    <w:rsid w:val="003F6346"/>
    <w:rsid w:val="004026FD"/>
    <w:rsid w:val="00406ABA"/>
    <w:rsid w:val="00407195"/>
    <w:rsid w:val="00411F31"/>
    <w:rsid w:val="004140A0"/>
    <w:rsid w:val="004164EC"/>
    <w:rsid w:val="004205CB"/>
    <w:rsid w:val="004256D2"/>
    <w:rsid w:val="00425A1B"/>
    <w:rsid w:val="00427C03"/>
    <w:rsid w:val="004312B2"/>
    <w:rsid w:val="004334E4"/>
    <w:rsid w:val="00433664"/>
    <w:rsid w:val="00435193"/>
    <w:rsid w:val="00436C27"/>
    <w:rsid w:val="00442400"/>
    <w:rsid w:val="00445450"/>
    <w:rsid w:val="0044633E"/>
    <w:rsid w:val="00446486"/>
    <w:rsid w:val="00451598"/>
    <w:rsid w:val="00451C71"/>
    <w:rsid w:val="00455C6C"/>
    <w:rsid w:val="00457492"/>
    <w:rsid w:val="004575F7"/>
    <w:rsid w:val="00457AEF"/>
    <w:rsid w:val="00457D42"/>
    <w:rsid w:val="00460BAB"/>
    <w:rsid w:val="00464E23"/>
    <w:rsid w:val="00466CE1"/>
    <w:rsid w:val="00470258"/>
    <w:rsid w:val="00470B7B"/>
    <w:rsid w:val="004716AA"/>
    <w:rsid w:val="004716CE"/>
    <w:rsid w:val="004747E5"/>
    <w:rsid w:val="004755BD"/>
    <w:rsid w:val="00487773"/>
    <w:rsid w:val="00487A95"/>
    <w:rsid w:val="0049085C"/>
    <w:rsid w:val="00491C04"/>
    <w:rsid w:val="00493E95"/>
    <w:rsid w:val="0049403C"/>
    <w:rsid w:val="00495DF8"/>
    <w:rsid w:val="00496A31"/>
    <w:rsid w:val="00496C3E"/>
    <w:rsid w:val="004A057D"/>
    <w:rsid w:val="004A0A8E"/>
    <w:rsid w:val="004A20BE"/>
    <w:rsid w:val="004A4B55"/>
    <w:rsid w:val="004B0B47"/>
    <w:rsid w:val="004B6AC7"/>
    <w:rsid w:val="004B74FA"/>
    <w:rsid w:val="004C01AC"/>
    <w:rsid w:val="004C1834"/>
    <w:rsid w:val="004C5553"/>
    <w:rsid w:val="004D0935"/>
    <w:rsid w:val="004D3265"/>
    <w:rsid w:val="004D338C"/>
    <w:rsid w:val="004D5494"/>
    <w:rsid w:val="004D6836"/>
    <w:rsid w:val="004D6B7D"/>
    <w:rsid w:val="004D795D"/>
    <w:rsid w:val="004E2ACD"/>
    <w:rsid w:val="004E44E1"/>
    <w:rsid w:val="004E5E2F"/>
    <w:rsid w:val="004E7429"/>
    <w:rsid w:val="004F12B8"/>
    <w:rsid w:val="004F21E1"/>
    <w:rsid w:val="004F2707"/>
    <w:rsid w:val="004F316B"/>
    <w:rsid w:val="004F3803"/>
    <w:rsid w:val="0050535D"/>
    <w:rsid w:val="00507C81"/>
    <w:rsid w:val="005216C3"/>
    <w:rsid w:val="00523ACF"/>
    <w:rsid w:val="00524099"/>
    <w:rsid w:val="00530998"/>
    <w:rsid w:val="0053282F"/>
    <w:rsid w:val="005336C6"/>
    <w:rsid w:val="00537144"/>
    <w:rsid w:val="005374AD"/>
    <w:rsid w:val="005419C3"/>
    <w:rsid w:val="00542C65"/>
    <w:rsid w:val="00543EF7"/>
    <w:rsid w:val="00546348"/>
    <w:rsid w:val="00547128"/>
    <w:rsid w:val="005532DB"/>
    <w:rsid w:val="005538C1"/>
    <w:rsid w:val="005561AE"/>
    <w:rsid w:val="005567A9"/>
    <w:rsid w:val="005577B6"/>
    <w:rsid w:val="005623D7"/>
    <w:rsid w:val="0056776A"/>
    <w:rsid w:val="0057053E"/>
    <w:rsid w:val="005737BD"/>
    <w:rsid w:val="0057530B"/>
    <w:rsid w:val="00581238"/>
    <w:rsid w:val="00582E23"/>
    <w:rsid w:val="005848A7"/>
    <w:rsid w:val="0058595F"/>
    <w:rsid w:val="00587124"/>
    <w:rsid w:val="00590847"/>
    <w:rsid w:val="00595E7C"/>
    <w:rsid w:val="005A52CA"/>
    <w:rsid w:val="005A798B"/>
    <w:rsid w:val="005B108C"/>
    <w:rsid w:val="005B126D"/>
    <w:rsid w:val="005B2808"/>
    <w:rsid w:val="005C2745"/>
    <w:rsid w:val="005C2D09"/>
    <w:rsid w:val="005C48C1"/>
    <w:rsid w:val="005C4EC9"/>
    <w:rsid w:val="005C6964"/>
    <w:rsid w:val="005D0C0D"/>
    <w:rsid w:val="005D12F2"/>
    <w:rsid w:val="005D22CC"/>
    <w:rsid w:val="005D2C1B"/>
    <w:rsid w:val="005D39DC"/>
    <w:rsid w:val="005D445B"/>
    <w:rsid w:val="005D6391"/>
    <w:rsid w:val="005E18E5"/>
    <w:rsid w:val="005E38DC"/>
    <w:rsid w:val="005E4447"/>
    <w:rsid w:val="005E6A17"/>
    <w:rsid w:val="005F1C96"/>
    <w:rsid w:val="005F1E77"/>
    <w:rsid w:val="005F2B9B"/>
    <w:rsid w:val="005F5466"/>
    <w:rsid w:val="005F5504"/>
    <w:rsid w:val="00600F2A"/>
    <w:rsid w:val="00603844"/>
    <w:rsid w:val="0060416A"/>
    <w:rsid w:val="0060463C"/>
    <w:rsid w:val="00604FE9"/>
    <w:rsid w:val="0060523A"/>
    <w:rsid w:val="00606ED5"/>
    <w:rsid w:val="00611CBA"/>
    <w:rsid w:val="00612D1C"/>
    <w:rsid w:val="00613341"/>
    <w:rsid w:val="0061386E"/>
    <w:rsid w:val="00613AB5"/>
    <w:rsid w:val="00615949"/>
    <w:rsid w:val="00622657"/>
    <w:rsid w:val="00623225"/>
    <w:rsid w:val="00624177"/>
    <w:rsid w:val="00625C53"/>
    <w:rsid w:val="00625FA0"/>
    <w:rsid w:val="006269C3"/>
    <w:rsid w:val="0062713E"/>
    <w:rsid w:val="00635204"/>
    <w:rsid w:val="00635E0A"/>
    <w:rsid w:val="00636F0E"/>
    <w:rsid w:val="006379C0"/>
    <w:rsid w:val="00637D41"/>
    <w:rsid w:val="00643F0B"/>
    <w:rsid w:val="0064548B"/>
    <w:rsid w:val="00645BEE"/>
    <w:rsid w:val="00647594"/>
    <w:rsid w:val="006518C3"/>
    <w:rsid w:val="00651A0C"/>
    <w:rsid w:val="0065206E"/>
    <w:rsid w:val="00652B32"/>
    <w:rsid w:val="006540DA"/>
    <w:rsid w:val="00654F27"/>
    <w:rsid w:val="00656DCC"/>
    <w:rsid w:val="006575AA"/>
    <w:rsid w:val="00657ED7"/>
    <w:rsid w:val="00660EB2"/>
    <w:rsid w:val="00661D4C"/>
    <w:rsid w:val="0066592C"/>
    <w:rsid w:val="00666855"/>
    <w:rsid w:val="0067492C"/>
    <w:rsid w:val="00674AE3"/>
    <w:rsid w:val="006753C2"/>
    <w:rsid w:val="00675C2C"/>
    <w:rsid w:val="006818A1"/>
    <w:rsid w:val="00684D17"/>
    <w:rsid w:val="006862B0"/>
    <w:rsid w:val="00690367"/>
    <w:rsid w:val="006924AC"/>
    <w:rsid w:val="006931CF"/>
    <w:rsid w:val="006949E5"/>
    <w:rsid w:val="006959C6"/>
    <w:rsid w:val="0069788D"/>
    <w:rsid w:val="006A095A"/>
    <w:rsid w:val="006A2EB2"/>
    <w:rsid w:val="006A3F0D"/>
    <w:rsid w:val="006A68DB"/>
    <w:rsid w:val="006B1588"/>
    <w:rsid w:val="006B220B"/>
    <w:rsid w:val="006B2DDF"/>
    <w:rsid w:val="006B57DD"/>
    <w:rsid w:val="006C09FF"/>
    <w:rsid w:val="006C1D59"/>
    <w:rsid w:val="006C2CBF"/>
    <w:rsid w:val="006C37C7"/>
    <w:rsid w:val="006C3F77"/>
    <w:rsid w:val="006C66DA"/>
    <w:rsid w:val="006C75A6"/>
    <w:rsid w:val="006D1F7D"/>
    <w:rsid w:val="006D3A58"/>
    <w:rsid w:val="006D4ACF"/>
    <w:rsid w:val="006D53A0"/>
    <w:rsid w:val="006D7738"/>
    <w:rsid w:val="006D7989"/>
    <w:rsid w:val="006E2E78"/>
    <w:rsid w:val="006E4338"/>
    <w:rsid w:val="006E572C"/>
    <w:rsid w:val="006E7B72"/>
    <w:rsid w:val="006F311D"/>
    <w:rsid w:val="006F69BD"/>
    <w:rsid w:val="00702945"/>
    <w:rsid w:val="00703647"/>
    <w:rsid w:val="00704029"/>
    <w:rsid w:val="0070597E"/>
    <w:rsid w:val="00705ADC"/>
    <w:rsid w:val="007061B2"/>
    <w:rsid w:val="00710B27"/>
    <w:rsid w:val="00710EC0"/>
    <w:rsid w:val="00711905"/>
    <w:rsid w:val="00714CF8"/>
    <w:rsid w:val="0072088F"/>
    <w:rsid w:val="00721BED"/>
    <w:rsid w:val="00723961"/>
    <w:rsid w:val="00723B89"/>
    <w:rsid w:val="00724DF9"/>
    <w:rsid w:val="00730954"/>
    <w:rsid w:val="0073446B"/>
    <w:rsid w:val="007401C9"/>
    <w:rsid w:val="007444FA"/>
    <w:rsid w:val="0074688C"/>
    <w:rsid w:val="00747DC3"/>
    <w:rsid w:val="0075013F"/>
    <w:rsid w:val="00751A17"/>
    <w:rsid w:val="00751B7F"/>
    <w:rsid w:val="0075328E"/>
    <w:rsid w:val="007561A0"/>
    <w:rsid w:val="00756F13"/>
    <w:rsid w:val="0076394E"/>
    <w:rsid w:val="00766F9E"/>
    <w:rsid w:val="00767257"/>
    <w:rsid w:val="00767F7B"/>
    <w:rsid w:val="00773759"/>
    <w:rsid w:val="00781235"/>
    <w:rsid w:val="007818D7"/>
    <w:rsid w:val="007819F5"/>
    <w:rsid w:val="00784838"/>
    <w:rsid w:val="00786338"/>
    <w:rsid w:val="007874C1"/>
    <w:rsid w:val="00787719"/>
    <w:rsid w:val="00797045"/>
    <w:rsid w:val="007977F6"/>
    <w:rsid w:val="007A5E28"/>
    <w:rsid w:val="007A7A16"/>
    <w:rsid w:val="007B66A1"/>
    <w:rsid w:val="007C58D6"/>
    <w:rsid w:val="007C5EC8"/>
    <w:rsid w:val="007D022A"/>
    <w:rsid w:val="007D05C0"/>
    <w:rsid w:val="007D0866"/>
    <w:rsid w:val="007D55D2"/>
    <w:rsid w:val="007D6511"/>
    <w:rsid w:val="007D6ACA"/>
    <w:rsid w:val="007E0204"/>
    <w:rsid w:val="007E1162"/>
    <w:rsid w:val="007E283E"/>
    <w:rsid w:val="007F07A0"/>
    <w:rsid w:val="007F0D50"/>
    <w:rsid w:val="007F3FF3"/>
    <w:rsid w:val="00801E20"/>
    <w:rsid w:val="008029C1"/>
    <w:rsid w:val="00802C24"/>
    <w:rsid w:val="00805FFA"/>
    <w:rsid w:val="00810973"/>
    <w:rsid w:val="00811FC1"/>
    <w:rsid w:val="00812B4F"/>
    <w:rsid w:val="00816E9B"/>
    <w:rsid w:val="00816F24"/>
    <w:rsid w:val="00817F1C"/>
    <w:rsid w:val="00823BE8"/>
    <w:rsid w:val="008247E7"/>
    <w:rsid w:val="00830523"/>
    <w:rsid w:val="00832D13"/>
    <w:rsid w:val="008343AA"/>
    <w:rsid w:val="0083448C"/>
    <w:rsid w:val="00835842"/>
    <w:rsid w:val="00842297"/>
    <w:rsid w:val="008430BC"/>
    <w:rsid w:val="00844813"/>
    <w:rsid w:val="0085001D"/>
    <w:rsid w:val="008516D1"/>
    <w:rsid w:val="00852E50"/>
    <w:rsid w:val="008537F1"/>
    <w:rsid w:val="00854C3A"/>
    <w:rsid w:val="00856E53"/>
    <w:rsid w:val="008579FF"/>
    <w:rsid w:val="008672D4"/>
    <w:rsid w:val="008728C1"/>
    <w:rsid w:val="0087549F"/>
    <w:rsid w:val="00875D56"/>
    <w:rsid w:val="008761EC"/>
    <w:rsid w:val="00880CC8"/>
    <w:rsid w:val="0088210D"/>
    <w:rsid w:val="00883489"/>
    <w:rsid w:val="008835E6"/>
    <w:rsid w:val="00884627"/>
    <w:rsid w:val="00885265"/>
    <w:rsid w:val="008871D3"/>
    <w:rsid w:val="00887644"/>
    <w:rsid w:val="00895061"/>
    <w:rsid w:val="00896253"/>
    <w:rsid w:val="008968F3"/>
    <w:rsid w:val="008A0D9C"/>
    <w:rsid w:val="008A3449"/>
    <w:rsid w:val="008A4099"/>
    <w:rsid w:val="008A524D"/>
    <w:rsid w:val="008A6157"/>
    <w:rsid w:val="008A65DB"/>
    <w:rsid w:val="008B0124"/>
    <w:rsid w:val="008B2FAB"/>
    <w:rsid w:val="008B5645"/>
    <w:rsid w:val="008B5E65"/>
    <w:rsid w:val="008C088B"/>
    <w:rsid w:val="008C0F21"/>
    <w:rsid w:val="008C4701"/>
    <w:rsid w:val="008C66C4"/>
    <w:rsid w:val="008D3DB4"/>
    <w:rsid w:val="008D4F8A"/>
    <w:rsid w:val="008D66C9"/>
    <w:rsid w:val="008D718A"/>
    <w:rsid w:val="008E3B67"/>
    <w:rsid w:val="008E6394"/>
    <w:rsid w:val="008E79D8"/>
    <w:rsid w:val="008E7FE2"/>
    <w:rsid w:val="008F09C4"/>
    <w:rsid w:val="008F2ACA"/>
    <w:rsid w:val="008F54A7"/>
    <w:rsid w:val="008F56EC"/>
    <w:rsid w:val="008F6FE8"/>
    <w:rsid w:val="0090033E"/>
    <w:rsid w:val="009027A0"/>
    <w:rsid w:val="00903939"/>
    <w:rsid w:val="00904B10"/>
    <w:rsid w:val="0090537C"/>
    <w:rsid w:val="00911295"/>
    <w:rsid w:val="009129B8"/>
    <w:rsid w:val="00920A2B"/>
    <w:rsid w:val="0092172B"/>
    <w:rsid w:val="00922CD4"/>
    <w:rsid w:val="00925170"/>
    <w:rsid w:val="0092530D"/>
    <w:rsid w:val="00930856"/>
    <w:rsid w:val="00930E81"/>
    <w:rsid w:val="00932AD8"/>
    <w:rsid w:val="0093325D"/>
    <w:rsid w:val="00934C66"/>
    <w:rsid w:val="00935E02"/>
    <w:rsid w:val="0093692A"/>
    <w:rsid w:val="00940094"/>
    <w:rsid w:val="0094033E"/>
    <w:rsid w:val="009432F6"/>
    <w:rsid w:val="009440A3"/>
    <w:rsid w:val="00944BBE"/>
    <w:rsid w:val="00950D80"/>
    <w:rsid w:val="00951BAF"/>
    <w:rsid w:val="009526EC"/>
    <w:rsid w:val="00953320"/>
    <w:rsid w:val="00954DAC"/>
    <w:rsid w:val="0096263A"/>
    <w:rsid w:val="0096290F"/>
    <w:rsid w:val="009638F3"/>
    <w:rsid w:val="0096489A"/>
    <w:rsid w:val="00964AF3"/>
    <w:rsid w:val="00964B88"/>
    <w:rsid w:val="009652E5"/>
    <w:rsid w:val="00966491"/>
    <w:rsid w:val="00966561"/>
    <w:rsid w:val="009665DF"/>
    <w:rsid w:val="0096666C"/>
    <w:rsid w:val="009667BE"/>
    <w:rsid w:val="00966B2F"/>
    <w:rsid w:val="00970322"/>
    <w:rsid w:val="0097245E"/>
    <w:rsid w:val="00974A19"/>
    <w:rsid w:val="009775E3"/>
    <w:rsid w:val="00977EA2"/>
    <w:rsid w:val="00981AF1"/>
    <w:rsid w:val="00985FE8"/>
    <w:rsid w:val="0098619E"/>
    <w:rsid w:val="00992A64"/>
    <w:rsid w:val="0099452D"/>
    <w:rsid w:val="00997CA8"/>
    <w:rsid w:val="009A167E"/>
    <w:rsid w:val="009A1DE4"/>
    <w:rsid w:val="009A2D05"/>
    <w:rsid w:val="009A6EF3"/>
    <w:rsid w:val="009B236C"/>
    <w:rsid w:val="009B4FF2"/>
    <w:rsid w:val="009B51FD"/>
    <w:rsid w:val="009B62F8"/>
    <w:rsid w:val="009D32F1"/>
    <w:rsid w:val="009D52C2"/>
    <w:rsid w:val="009D6B2E"/>
    <w:rsid w:val="009D7157"/>
    <w:rsid w:val="009E4BE3"/>
    <w:rsid w:val="009F1E0E"/>
    <w:rsid w:val="009F1F7D"/>
    <w:rsid w:val="009F200D"/>
    <w:rsid w:val="009F201E"/>
    <w:rsid w:val="009F296D"/>
    <w:rsid w:val="009F3C0D"/>
    <w:rsid w:val="009F41F9"/>
    <w:rsid w:val="009F4238"/>
    <w:rsid w:val="009F49DA"/>
    <w:rsid w:val="009F4E24"/>
    <w:rsid w:val="009F7FE9"/>
    <w:rsid w:val="00A001A6"/>
    <w:rsid w:val="00A0025F"/>
    <w:rsid w:val="00A01CF5"/>
    <w:rsid w:val="00A04C14"/>
    <w:rsid w:val="00A13120"/>
    <w:rsid w:val="00A178A2"/>
    <w:rsid w:val="00A21087"/>
    <w:rsid w:val="00A2465A"/>
    <w:rsid w:val="00A24BC4"/>
    <w:rsid w:val="00A26351"/>
    <w:rsid w:val="00A26D29"/>
    <w:rsid w:val="00A30382"/>
    <w:rsid w:val="00A316D4"/>
    <w:rsid w:val="00A326BD"/>
    <w:rsid w:val="00A34743"/>
    <w:rsid w:val="00A3679F"/>
    <w:rsid w:val="00A379A9"/>
    <w:rsid w:val="00A40981"/>
    <w:rsid w:val="00A424C4"/>
    <w:rsid w:val="00A43D7D"/>
    <w:rsid w:val="00A45533"/>
    <w:rsid w:val="00A45829"/>
    <w:rsid w:val="00A45BE7"/>
    <w:rsid w:val="00A46550"/>
    <w:rsid w:val="00A500D9"/>
    <w:rsid w:val="00A55539"/>
    <w:rsid w:val="00A569EB"/>
    <w:rsid w:val="00A60E76"/>
    <w:rsid w:val="00A60EEC"/>
    <w:rsid w:val="00A618AC"/>
    <w:rsid w:val="00A63877"/>
    <w:rsid w:val="00A64B5F"/>
    <w:rsid w:val="00A66269"/>
    <w:rsid w:val="00A66796"/>
    <w:rsid w:val="00A7515E"/>
    <w:rsid w:val="00A77BB1"/>
    <w:rsid w:val="00A822AF"/>
    <w:rsid w:val="00A843C6"/>
    <w:rsid w:val="00A855FE"/>
    <w:rsid w:val="00A90975"/>
    <w:rsid w:val="00A90F20"/>
    <w:rsid w:val="00A91E94"/>
    <w:rsid w:val="00A950E5"/>
    <w:rsid w:val="00A96348"/>
    <w:rsid w:val="00AA1A58"/>
    <w:rsid w:val="00AB0DED"/>
    <w:rsid w:val="00AB1A0B"/>
    <w:rsid w:val="00AB26C4"/>
    <w:rsid w:val="00AB7C52"/>
    <w:rsid w:val="00AC241D"/>
    <w:rsid w:val="00AC4BA6"/>
    <w:rsid w:val="00AC5D15"/>
    <w:rsid w:val="00AD4892"/>
    <w:rsid w:val="00AD73C8"/>
    <w:rsid w:val="00AE05C3"/>
    <w:rsid w:val="00AE4111"/>
    <w:rsid w:val="00AE4D7B"/>
    <w:rsid w:val="00AE6C47"/>
    <w:rsid w:val="00AF08C6"/>
    <w:rsid w:val="00AF1869"/>
    <w:rsid w:val="00AF1E7A"/>
    <w:rsid w:val="00AF33E6"/>
    <w:rsid w:val="00AF4D92"/>
    <w:rsid w:val="00AF5CFB"/>
    <w:rsid w:val="00B00537"/>
    <w:rsid w:val="00B0303B"/>
    <w:rsid w:val="00B036D3"/>
    <w:rsid w:val="00B03C2A"/>
    <w:rsid w:val="00B040A5"/>
    <w:rsid w:val="00B06611"/>
    <w:rsid w:val="00B112A7"/>
    <w:rsid w:val="00B116E8"/>
    <w:rsid w:val="00B13782"/>
    <w:rsid w:val="00B155AB"/>
    <w:rsid w:val="00B1599D"/>
    <w:rsid w:val="00B162EB"/>
    <w:rsid w:val="00B17CD9"/>
    <w:rsid w:val="00B203EA"/>
    <w:rsid w:val="00B229ED"/>
    <w:rsid w:val="00B23C18"/>
    <w:rsid w:val="00B245B5"/>
    <w:rsid w:val="00B24C41"/>
    <w:rsid w:val="00B25996"/>
    <w:rsid w:val="00B313E0"/>
    <w:rsid w:val="00B321C2"/>
    <w:rsid w:val="00B36007"/>
    <w:rsid w:val="00B37D66"/>
    <w:rsid w:val="00B40CAE"/>
    <w:rsid w:val="00B42EBF"/>
    <w:rsid w:val="00B43027"/>
    <w:rsid w:val="00B440F8"/>
    <w:rsid w:val="00B45256"/>
    <w:rsid w:val="00B51640"/>
    <w:rsid w:val="00B52ED7"/>
    <w:rsid w:val="00B56071"/>
    <w:rsid w:val="00B57055"/>
    <w:rsid w:val="00B630DB"/>
    <w:rsid w:val="00B64DC8"/>
    <w:rsid w:val="00B65271"/>
    <w:rsid w:val="00B7159C"/>
    <w:rsid w:val="00B71F74"/>
    <w:rsid w:val="00B735AC"/>
    <w:rsid w:val="00B73FE9"/>
    <w:rsid w:val="00B80AAE"/>
    <w:rsid w:val="00B8337B"/>
    <w:rsid w:val="00B86EB1"/>
    <w:rsid w:val="00B91243"/>
    <w:rsid w:val="00B92163"/>
    <w:rsid w:val="00B923BD"/>
    <w:rsid w:val="00B93310"/>
    <w:rsid w:val="00B9556F"/>
    <w:rsid w:val="00B97682"/>
    <w:rsid w:val="00BA0DCF"/>
    <w:rsid w:val="00BA237E"/>
    <w:rsid w:val="00BA2F99"/>
    <w:rsid w:val="00BA3762"/>
    <w:rsid w:val="00BA37C7"/>
    <w:rsid w:val="00BA5B75"/>
    <w:rsid w:val="00BA7ABE"/>
    <w:rsid w:val="00BB1EDA"/>
    <w:rsid w:val="00BC03D9"/>
    <w:rsid w:val="00BC07F5"/>
    <w:rsid w:val="00BC1E3A"/>
    <w:rsid w:val="00BC278C"/>
    <w:rsid w:val="00BC4622"/>
    <w:rsid w:val="00BC69D5"/>
    <w:rsid w:val="00BD10DB"/>
    <w:rsid w:val="00BD4960"/>
    <w:rsid w:val="00BD4AEA"/>
    <w:rsid w:val="00BE05F9"/>
    <w:rsid w:val="00BE2359"/>
    <w:rsid w:val="00BE57FC"/>
    <w:rsid w:val="00BF768D"/>
    <w:rsid w:val="00C014E3"/>
    <w:rsid w:val="00C03F70"/>
    <w:rsid w:val="00C0541B"/>
    <w:rsid w:val="00C07EE3"/>
    <w:rsid w:val="00C1146D"/>
    <w:rsid w:val="00C14144"/>
    <w:rsid w:val="00C1512A"/>
    <w:rsid w:val="00C207AE"/>
    <w:rsid w:val="00C209CF"/>
    <w:rsid w:val="00C20FFA"/>
    <w:rsid w:val="00C2113A"/>
    <w:rsid w:val="00C211FC"/>
    <w:rsid w:val="00C22F27"/>
    <w:rsid w:val="00C25753"/>
    <w:rsid w:val="00C27654"/>
    <w:rsid w:val="00C27CB4"/>
    <w:rsid w:val="00C27EBB"/>
    <w:rsid w:val="00C36252"/>
    <w:rsid w:val="00C378B9"/>
    <w:rsid w:val="00C441F8"/>
    <w:rsid w:val="00C46F02"/>
    <w:rsid w:val="00C504A9"/>
    <w:rsid w:val="00C50820"/>
    <w:rsid w:val="00C517EE"/>
    <w:rsid w:val="00C558AA"/>
    <w:rsid w:val="00C61EFD"/>
    <w:rsid w:val="00C631C7"/>
    <w:rsid w:val="00C63283"/>
    <w:rsid w:val="00C6336E"/>
    <w:rsid w:val="00C662F8"/>
    <w:rsid w:val="00C71EE3"/>
    <w:rsid w:val="00C72318"/>
    <w:rsid w:val="00C73B4E"/>
    <w:rsid w:val="00C81A27"/>
    <w:rsid w:val="00C8330F"/>
    <w:rsid w:val="00C84513"/>
    <w:rsid w:val="00C86D5B"/>
    <w:rsid w:val="00C90075"/>
    <w:rsid w:val="00C90805"/>
    <w:rsid w:val="00C946A8"/>
    <w:rsid w:val="00C95680"/>
    <w:rsid w:val="00C96D53"/>
    <w:rsid w:val="00C96F90"/>
    <w:rsid w:val="00CA2EEA"/>
    <w:rsid w:val="00CA59C6"/>
    <w:rsid w:val="00CA722F"/>
    <w:rsid w:val="00CB496E"/>
    <w:rsid w:val="00CB6670"/>
    <w:rsid w:val="00CB6C04"/>
    <w:rsid w:val="00CC62A9"/>
    <w:rsid w:val="00CC73A7"/>
    <w:rsid w:val="00CC7E4B"/>
    <w:rsid w:val="00CD0231"/>
    <w:rsid w:val="00CD0984"/>
    <w:rsid w:val="00CD0FEF"/>
    <w:rsid w:val="00CD3D7D"/>
    <w:rsid w:val="00CD4F8B"/>
    <w:rsid w:val="00CD667D"/>
    <w:rsid w:val="00CD6C71"/>
    <w:rsid w:val="00CD7606"/>
    <w:rsid w:val="00CE2DF3"/>
    <w:rsid w:val="00CE2F62"/>
    <w:rsid w:val="00CE3A0F"/>
    <w:rsid w:val="00CE3A5F"/>
    <w:rsid w:val="00CE4CDD"/>
    <w:rsid w:val="00CE6660"/>
    <w:rsid w:val="00CF04B4"/>
    <w:rsid w:val="00CF10BA"/>
    <w:rsid w:val="00CF1B18"/>
    <w:rsid w:val="00CF3292"/>
    <w:rsid w:val="00CF3EE3"/>
    <w:rsid w:val="00CF3F1A"/>
    <w:rsid w:val="00D00BDD"/>
    <w:rsid w:val="00D047BB"/>
    <w:rsid w:val="00D06074"/>
    <w:rsid w:val="00D06331"/>
    <w:rsid w:val="00D11F8B"/>
    <w:rsid w:val="00D13CB4"/>
    <w:rsid w:val="00D17780"/>
    <w:rsid w:val="00D211C9"/>
    <w:rsid w:val="00D246C8"/>
    <w:rsid w:val="00D24FD3"/>
    <w:rsid w:val="00D25224"/>
    <w:rsid w:val="00D25CC9"/>
    <w:rsid w:val="00D274D3"/>
    <w:rsid w:val="00D277A3"/>
    <w:rsid w:val="00D329B9"/>
    <w:rsid w:val="00D334DB"/>
    <w:rsid w:val="00D33B60"/>
    <w:rsid w:val="00D40124"/>
    <w:rsid w:val="00D435E2"/>
    <w:rsid w:val="00D43F42"/>
    <w:rsid w:val="00D47C4F"/>
    <w:rsid w:val="00D51C52"/>
    <w:rsid w:val="00D51D9C"/>
    <w:rsid w:val="00D52217"/>
    <w:rsid w:val="00D550AE"/>
    <w:rsid w:val="00D55976"/>
    <w:rsid w:val="00D573F0"/>
    <w:rsid w:val="00D574AD"/>
    <w:rsid w:val="00D60C7D"/>
    <w:rsid w:val="00D61427"/>
    <w:rsid w:val="00D61560"/>
    <w:rsid w:val="00D672FF"/>
    <w:rsid w:val="00D73618"/>
    <w:rsid w:val="00D75668"/>
    <w:rsid w:val="00D77D3F"/>
    <w:rsid w:val="00D84D96"/>
    <w:rsid w:val="00D855D3"/>
    <w:rsid w:val="00D859EB"/>
    <w:rsid w:val="00D87D9F"/>
    <w:rsid w:val="00D92FF6"/>
    <w:rsid w:val="00D94B48"/>
    <w:rsid w:val="00D97710"/>
    <w:rsid w:val="00DA02B2"/>
    <w:rsid w:val="00DA5824"/>
    <w:rsid w:val="00DB1DEA"/>
    <w:rsid w:val="00DB3F15"/>
    <w:rsid w:val="00DB437A"/>
    <w:rsid w:val="00DB4ACF"/>
    <w:rsid w:val="00DB75FE"/>
    <w:rsid w:val="00DC23A9"/>
    <w:rsid w:val="00DC3CD1"/>
    <w:rsid w:val="00DC5D56"/>
    <w:rsid w:val="00DD1CC1"/>
    <w:rsid w:val="00DD490B"/>
    <w:rsid w:val="00DD7E39"/>
    <w:rsid w:val="00DE044D"/>
    <w:rsid w:val="00DE1171"/>
    <w:rsid w:val="00DE327F"/>
    <w:rsid w:val="00DE49A6"/>
    <w:rsid w:val="00DE5579"/>
    <w:rsid w:val="00DF1737"/>
    <w:rsid w:val="00DF2463"/>
    <w:rsid w:val="00E0135D"/>
    <w:rsid w:val="00E014BB"/>
    <w:rsid w:val="00E0365D"/>
    <w:rsid w:val="00E06F4D"/>
    <w:rsid w:val="00E1229C"/>
    <w:rsid w:val="00E13B33"/>
    <w:rsid w:val="00E23567"/>
    <w:rsid w:val="00E25809"/>
    <w:rsid w:val="00E26AE4"/>
    <w:rsid w:val="00E3011A"/>
    <w:rsid w:val="00E31107"/>
    <w:rsid w:val="00E36835"/>
    <w:rsid w:val="00E36BB7"/>
    <w:rsid w:val="00E370FD"/>
    <w:rsid w:val="00E37251"/>
    <w:rsid w:val="00E376C0"/>
    <w:rsid w:val="00E45626"/>
    <w:rsid w:val="00E46872"/>
    <w:rsid w:val="00E46B1E"/>
    <w:rsid w:val="00E51847"/>
    <w:rsid w:val="00E530E7"/>
    <w:rsid w:val="00E544B7"/>
    <w:rsid w:val="00E560BA"/>
    <w:rsid w:val="00E64764"/>
    <w:rsid w:val="00E70915"/>
    <w:rsid w:val="00E718EE"/>
    <w:rsid w:val="00E73BE5"/>
    <w:rsid w:val="00E74352"/>
    <w:rsid w:val="00E750C4"/>
    <w:rsid w:val="00E75A73"/>
    <w:rsid w:val="00E8694A"/>
    <w:rsid w:val="00E90E3C"/>
    <w:rsid w:val="00E915AC"/>
    <w:rsid w:val="00E916EF"/>
    <w:rsid w:val="00E91D0E"/>
    <w:rsid w:val="00E92651"/>
    <w:rsid w:val="00E94053"/>
    <w:rsid w:val="00EA2C5B"/>
    <w:rsid w:val="00EA3115"/>
    <w:rsid w:val="00EA312A"/>
    <w:rsid w:val="00EA3320"/>
    <w:rsid w:val="00EA5B9D"/>
    <w:rsid w:val="00EB6A29"/>
    <w:rsid w:val="00EC13AE"/>
    <w:rsid w:val="00EC1629"/>
    <w:rsid w:val="00EC2813"/>
    <w:rsid w:val="00EC2906"/>
    <w:rsid w:val="00EC2DE4"/>
    <w:rsid w:val="00EC5722"/>
    <w:rsid w:val="00ED05A6"/>
    <w:rsid w:val="00ED0CB3"/>
    <w:rsid w:val="00ED18C7"/>
    <w:rsid w:val="00ED3311"/>
    <w:rsid w:val="00ED42D3"/>
    <w:rsid w:val="00ED5FD4"/>
    <w:rsid w:val="00EE02E6"/>
    <w:rsid w:val="00EE42DA"/>
    <w:rsid w:val="00EE4421"/>
    <w:rsid w:val="00EE755D"/>
    <w:rsid w:val="00EE7BEF"/>
    <w:rsid w:val="00EF1D05"/>
    <w:rsid w:val="00EF7381"/>
    <w:rsid w:val="00EF7DF8"/>
    <w:rsid w:val="00F00364"/>
    <w:rsid w:val="00F03B83"/>
    <w:rsid w:val="00F06A7B"/>
    <w:rsid w:val="00F0716D"/>
    <w:rsid w:val="00F07FB3"/>
    <w:rsid w:val="00F108C1"/>
    <w:rsid w:val="00F10DFA"/>
    <w:rsid w:val="00F12A46"/>
    <w:rsid w:val="00F13C28"/>
    <w:rsid w:val="00F1401A"/>
    <w:rsid w:val="00F14ED9"/>
    <w:rsid w:val="00F155B0"/>
    <w:rsid w:val="00F16D03"/>
    <w:rsid w:val="00F1799D"/>
    <w:rsid w:val="00F20C3E"/>
    <w:rsid w:val="00F23009"/>
    <w:rsid w:val="00F24840"/>
    <w:rsid w:val="00F25BDA"/>
    <w:rsid w:val="00F26189"/>
    <w:rsid w:val="00F277F9"/>
    <w:rsid w:val="00F27B66"/>
    <w:rsid w:val="00F303B5"/>
    <w:rsid w:val="00F325CD"/>
    <w:rsid w:val="00F32A50"/>
    <w:rsid w:val="00F33B32"/>
    <w:rsid w:val="00F40071"/>
    <w:rsid w:val="00F40E61"/>
    <w:rsid w:val="00F41BE6"/>
    <w:rsid w:val="00F430EA"/>
    <w:rsid w:val="00F43AFA"/>
    <w:rsid w:val="00F468A2"/>
    <w:rsid w:val="00F544F4"/>
    <w:rsid w:val="00F5508D"/>
    <w:rsid w:val="00F55E14"/>
    <w:rsid w:val="00F561C3"/>
    <w:rsid w:val="00F5672B"/>
    <w:rsid w:val="00F56C79"/>
    <w:rsid w:val="00F60646"/>
    <w:rsid w:val="00F6113D"/>
    <w:rsid w:val="00F6336D"/>
    <w:rsid w:val="00F65DBB"/>
    <w:rsid w:val="00F67B27"/>
    <w:rsid w:val="00F7251C"/>
    <w:rsid w:val="00F74BF8"/>
    <w:rsid w:val="00F76968"/>
    <w:rsid w:val="00F76A54"/>
    <w:rsid w:val="00F84F0B"/>
    <w:rsid w:val="00F85F6E"/>
    <w:rsid w:val="00F87CA6"/>
    <w:rsid w:val="00F9421B"/>
    <w:rsid w:val="00F96FAA"/>
    <w:rsid w:val="00F971F8"/>
    <w:rsid w:val="00FA1698"/>
    <w:rsid w:val="00FA2EA9"/>
    <w:rsid w:val="00FA3554"/>
    <w:rsid w:val="00FA6373"/>
    <w:rsid w:val="00FA7043"/>
    <w:rsid w:val="00FA7148"/>
    <w:rsid w:val="00FB0023"/>
    <w:rsid w:val="00FB1409"/>
    <w:rsid w:val="00FB27E4"/>
    <w:rsid w:val="00FB2CB7"/>
    <w:rsid w:val="00FB3B9F"/>
    <w:rsid w:val="00FB4724"/>
    <w:rsid w:val="00FB7E2A"/>
    <w:rsid w:val="00FC13E9"/>
    <w:rsid w:val="00FC36CD"/>
    <w:rsid w:val="00FC78AB"/>
    <w:rsid w:val="00FC79C1"/>
    <w:rsid w:val="00FC7D4B"/>
    <w:rsid w:val="00FC7D99"/>
    <w:rsid w:val="00FD028E"/>
    <w:rsid w:val="00FD0F1A"/>
    <w:rsid w:val="00FD2A55"/>
    <w:rsid w:val="00FD2BDF"/>
    <w:rsid w:val="00FD2D45"/>
    <w:rsid w:val="00FD5547"/>
    <w:rsid w:val="00FD6458"/>
    <w:rsid w:val="00FD67CC"/>
    <w:rsid w:val="00FD7A22"/>
    <w:rsid w:val="00FE29BA"/>
    <w:rsid w:val="00FF00DD"/>
    <w:rsid w:val="00FF04EC"/>
    <w:rsid w:val="00FF2639"/>
    <w:rsid w:val="00FF5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2FF4"/>
  <w15:docId w15:val="{68A18613-68FD-4209-A56F-B01F8959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D7D"/>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36252"/>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uiPriority w:val="99"/>
    <w:semiHidden/>
    <w:rsid w:val="00C36252"/>
    <w:rPr>
      <w:rFonts w:ascii="Times New Roman" w:eastAsia="Times New Roman" w:hAnsi="Times New Roman"/>
    </w:rPr>
  </w:style>
  <w:style w:type="character" w:styleId="Appelnotedebasdep">
    <w:name w:val="footnote reference"/>
    <w:basedOn w:val="Policepardfaut"/>
    <w:uiPriority w:val="99"/>
    <w:semiHidden/>
    <w:rsid w:val="00C36252"/>
    <w:rPr>
      <w:vertAlign w:val="superscript"/>
    </w:rPr>
  </w:style>
  <w:style w:type="character" w:styleId="Lienhypertexte">
    <w:name w:val="Hyperlink"/>
    <w:basedOn w:val="Policepardfaut"/>
    <w:uiPriority w:val="99"/>
    <w:unhideWhenUsed/>
    <w:rsid w:val="004716CE"/>
    <w:rPr>
      <w:color w:val="0000FF"/>
      <w:u w:val="single"/>
    </w:rPr>
  </w:style>
  <w:style w:type="paragraph" w:styleId="En-tte">
    <w:name w:val="header"/>
    <w:basedOn w:val="Normal"/>
    <w:link w:val="En-tteCar"/>
    <w:uiPriority w:val="99"/>
    <w:semiHidden/>
    <w:unhideWhenUsed/>
    <w:rsid w:val="006E7B72"/>
    <w:pPr>
      <w:tabs>
        <w:tab w:val="center" w:pos="4536"/>
        <w:tab w:val="right" w:pos="9072"/>
      </w:tabs>
    </w:pPr>
  </w:style>
  <w:style w:type="character" w:customStyle="1" w:styleId="En-tteCar">
    <w:name w:val="En-tête Car"/>
    <w:basedOn w:val="Policepardfaut"/>
    <w:link w:val="En-tte"/>
    <w:uiPriority w:val="99"/>
    <w:semiHidden/>
    <w:rsid w:val="006E7B72"/>
    <w:rPr>
      <w:sz w:val="22"/>
      <w:szCs w:val="22"/>
      <w:lang w:eastAsia="en-US"/>
    </w:rPr>
  </w:style>
  <w:style w:type="paragraph" w:styleId="Pieddepage">
    <w:name w:val="footer"/>
    <w:basedOn w:val="Normal"/>
    <w:link w:val="PieddepageCar"/>
    <w:uiPriority w:val="99"/>
    <w:unhideWhenUsed/>
    <w:rsid w:val="006E7B72"/>
    <w:pPr>
      <w:tabs>
        <w:tab w:val="center" w:pos="4536"/>
        <w:tab w:val="right" w:pos="9072"/>
      </w:tabs>
    </w:pPr>
  </w:style>
  <w:style w:type="character" w:customStyle="1" w:styleId="PieddepageCar">
    <w:name w:val="Pied de page Car"/>
    <w:basedOn w:val="Policepardfaut"/>
    <w:link w:val="Pieddepage"/>
    <w:uiPriority w:val="99"/>
    <w:rsid w:val="006E7B72"/>
    <w:rPr>
      <w:sz w:val="22"/>
      <w:szCs w:val="22"/>
      <w:lang w:eastAsia="en-US"/>
    </w:rPr>
  </w:style>
  <w:style w:type="paragraph" w:customStyle="1" w:styleId="Default">
    <w:name w:val="Default"/>
    <w:uiPriority w:val="99"/>
    <w:rsid w:val="002D4D3B"/>
    <w:pPr>
      <w:autoSpaceDE w:val="0"/>
      <w:autoSpaceDN w:val="0"/>
      <w:adjustRightInd w:val="0"/>
    </w:pPr>
    <w:rPr>
      <w:rFonts w:ascii="EUAlbertina" w:eastAsia="Times New Roman" w:hAnsi="EUAlbertina" w:cs="EUAlbertina"/>
      <w:color w:val="000000"/>
      <w:sz w:val="24"/>
      <w:szCs w:val="24"/>
    </w:rPr>
  </w:style>
  <w:style w:type="paragraph" w:customStyle="1" w:styleId="Titre03">
    <w:name w:val="_Titre03"/>
    <w:basedOn w:val="Normal"/>
    <w:uiPriority w:val="99"/>
    <w:rsid w:val="00F65DBB"/>
    <w:pPr>
      <w:keepNext/>
      <w:widowControl w:val="0"/>
      <w:suppressAutoHyphens/>
      <w:autoSpaceDE w:val="0"/>
      <w:autoSpaceDN w:val="0"/>
      <w:adjustRightInd w:val="0"/>
      <w:spacing w:before="227" w:after="57" w:line="220" w:lineRule="atLeast"/>
      <w:ind w:left="567"/>
      <w:textAlignment w:val="center"/>
    </w:pPr>
    <w:rPr>
      <w:rFonts w:ascii="HelveticaNeueLTStd-MdCn" w:eastAsia="Times New Roman" w:hAnsi="HelveticaNeueLTStd-MdCn" w:cs="HelveticaNeueLTStd-MdCn"/>
      <w:color w:val="000000"/>
      <w:sz w:val="20"/>
      <w:szCs w:val="20"/>
      <w:lang w:eastAsia="fr-FR"/>
    </w:rPr>
  </w:style>
  <w:style w:type="paragraph" w:customStyle="1" w:styleId="Paragraphe">
    <w:name w:val="_Paragraphe"/>
    <w:basedOn w:val="Normal"/>
    <w:uiPriority w:val="99"/>
    <w:rsid w:val="00F65DBB"/>
    <w:pPr>
      <w:widowControl w:val="0"/>
      <w:autoSpaceDE w:val="0"/>
      <w:autoSpaceDN w:val="0"/>
      <w:adjustRightInd w:val="0"/>
      <w:spacing w:before="57" w:after="0" w:line="240" w:lineRule="atLeast"/>
      <w:jc w:val="both"/>
      <w:textAlignment w:val="center"/>
    </w:pPr>
    <w:rPr>
      <w:rFonts w:ascii="HelveticaNeueLTStd-Cn" w:eastAsia="Times New Roman" w:hAnsi="HelveticaNeueLTStd-Cn" w:cs="HelveticaNeueLTStd-Cn"/>
      <w:color w:val="000000"/>
      <w:sz w:val="18"/>
      <w:szCs w:val="18"/>
      <w:lang w:eastAsia="fr-FR"/>
    </w:rPr>
  </w:style>
  <w:style w:type="paragraph" w:customStyle="1" w:styleId="numration">
    <w:name w:val="_Énumération"/>
    <w:basedOn w:val="Normal"/>
    <w:uiPriority w:val="99"/>
    <w:rsid w:val="00F20C3E"/>
    <w:pPr>
      <w:widowControl w:val="0"/>
      <w:autoSpaceDE w:val="0"/>
      <w:autoSpaceDN w:val="0"/>
      <w:adjustRightInd w:val="0"/>
      <w:spacing w:after="0" w:line="240" w:lineRule="atLeast"/>
      <w:jc w:val="both"/>
      <w:textAlignment w:val="center"/>
    </w:pPr>
    <w:rPr>
      <w:rFonts w:ascii="HelveticaNeueLTStd-Cn" w:eastAsia="Times New Roman" w:hAnsi="HelveticaNeueLTStd-Cn" w:cs="HelveticaNeueLTStd-Cn"/>
      <w:color w:val="000000"/>
      <w:sz w:val="18"/>
      <w:szCs w:val="18"/>
      <w:lang w:eastAsia="fr-FR"/>
    </w:rPr>
  </w:style>
  <w:style w:type="paragraph" w:customStyle="1" w:styleId="CM1">
    <w:name w:val="CM1"/>
    <w:basedOn w:val="Default"/>
    <w:next w:val="Default"/>
    <w:uiPriority w:val="99"/>
    <w:rsid w:val="003B5967"/>
    <w:rPr>
      <w:rFonts w:cs="Times New Roman"/>
      <w:color w:val="auto"/>
    </w:rPr>
  </w:style>
  <w:style w:type="character" w:styleId="Marquedecommentaire">
    <w:name w:val="annotation reference"/>
    <w:basedOn w:val="Policepardfaut"/>
    <w:uiPriority w:val="99"/>
    <w:semiHidden/>
    <w:unhideWhenUsed/>
    <w:rsid w:val="005419C3"/>
    <w:rPr>
      <w:sz w:val="16"/>
      <w:szCs w:val="16"/>
    </w:rPr>
  </w:style>
  <w:style w:type="paragraph" w:styleId="Commentaire">
    <w:name w:val="annotation text"/>
    <w:basedOn w:val="Normal"/>
    <w:link w:val="CommentaireCar"/>
    <w:uiPriority w:val="99"/>
    <w:semiHidden/>
    <w:unhideWhenUsed/>
    <w:rsid w:val="005419C3"/>
    <w:rPr>
      <w:sz w:val="20"/>
      <w:szCs w:val="20"/>
    </w:rPr>
  </w:style>
  <w:style w:type="character" w:customStyle="1" w:styleId="CommentaireCar">
    <w:name w:val="Commentaire Car"/>
    <w:basedOn w:val="Policepardfaut"/>
    <w:link w:val="Commentaire"/>
    <w:uiPriority w:val="99"/>
    <w:semiHidden/>
    <w:rsid w:val="005419C3"/>
    <w:rPr>
      <w:lang w:eastAsia="en-US"/>
    </w:rPr>
  </w:style>
  <w:style w:type="paragraph" w:styleId="Objetducommentaire">
    <w:name w:val="annotation subject"/>
    <w:basedOn w:val="Commentaire"/>
    <w:next w:val="Commentaire"/>
    <w:link w:val="ObjetducommentaireCar"/>
    <w:uiPriority w:val="99"/>
    <w:semiHidden/>
    <w:unhideWhenUsed/>
    <w:rsid w:val="005419C3"/>
    <w:rPr>
      <w:b/>
      <w:bCs/>
    </w:rPr>
  </w:style>
  <w:style w:type="character" w:customStyle="1" w:styleId="ObjetducommentaireCar">
    <w:name w:val="Objet du commentaire Car"/>
    <w:basedOn w:val="CommentaireCar"/>
    <w:link w:val="Objetducommentaire"/>
    <w:uiPriority w:val="99"/>
    <w:semiHidden/>
    <w:rsid w:val="005419C3"/>
    <w:rPr>
      <w:b/>
      <w:bCs/>
      <w:lang w:eastAsia="en-US"/>
    </w:rPr>
  </w:style>
  <w:style w:type="paragraph" w:styleId="Textedebulles">
    <w:name w:val="Balloon Text"/>
    <w:basedOn w:val="Normal"/>
    <w:link w:val="TextedebullesCar"/>
    <w:uiPriority w:val="99"/>
    <w:semiHidden/>
    <w:unhideWhenUsed/>
    <w:rsid w:val="005419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19C3"/>
    <w:rPr>
      <w:rFonts w:ascii="Tahoma" w:hAnsi="Tahoma" w:cs="Tahoma"/>
      <w:sz w:val="16"/>
      <w:szCs w:val="16"/>
      <w:lang w:eastAsia="en-US"/>
    </w:rPr>
  </w:style>
  <w:style w:type="paragraph" w:styleId="Paragraphedeliste">
    <w:name w:val="List Paragraph"/>
    <w:basedOn w:val="Normal"/>
    <w:uiPriority w:val="34"/>
    <w:qFormat/>
    <w:rsid w:val="00F76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BD1E7-6600-46C1-9A10-02ECFA0A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2308</Words>
  <Characters>12699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KIPIANI Patricia</cp:lastModifiedBy>
  <cp:revision>2</cp:revision>
  <cp:lastPrinted>2014-02-11T16:52:00Z</cp:lastPrinted>
  <dcterms:created xsi:type="dcterms:W3CDTF">2024-04-04T13:08:00Z</dcterms:created>
  <dcterms:modified xsi:type="dcterms:W3CDTF">2024-04-04T13:08:00Z</dcterms:modified>
</cp:coreProperties>
</file>