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1701D" w14:textId="77777777" w:rsidR="003D736D" w:rsidRPr="00FD1932" w:rsidRDefault="003D736D" w:rsidP="00E60D33">
      <w:pPr>
        <w:pBdr>
          <w:top w:val="single" w:sz="4" w:space="1" w:color="auto"/>
          <w:left w:val="single" w:sz="4" w:space="4" w:color="auto"/>
          <w:bottom w:val="single" w:sz="4" w:space="1" w:color="auto"/>
          <w:right w:val="single" w:sz="4" w:space="4" w:color="auto"/>
        </w:pBdr>
        <w:jc w:val="center"/>
        <w:rPr>
          <w:rFonts w:ascii="Marianne" w:hAnsi="Marianne"/>
        </w:rPr>
      </w:pPr>
      <w:bookmarkStart w:id="0" w:name="_GoBack"/>
      <w:bookmarkEnd w:id="0"/>
      <w:r w:rsidRPr="00FD1932">
        <w:rPr>
          <w:rFonts w:ascii="Marianne" w:hAnsi="Marianne"/>
          <w:b/>
        </w:rPr>
        <w:t>ANNEXE 7</w:t>
      </w:r>
    </w:p>
    <w:p w14:paraId="6596FD7F" w14:textId="77777777" w:rsidR="00C21FF2" w:rsidRPr="00FD1932" w:rsidRDefault="00C21FF2" w:rsidP="00E60D33">
      <w:pPr>
        <w:pBdr>
          <w:top w:val="single" w:sz="4" w:space="1" w:color="auto"/>
          <w:left w:val="single" w:sz="4" w:space="4" w:color="auto"/>
          <w:bottom w:val="single" w:sz="4" w:space="1" w:color="auto"/>
          <w:right w:val="single" w:sz="4" w:space="4" w:color="auto"/>
        </w:pBdr>
        <w:jc w:val="center"/>
        <w:rPr>
          <w:rFonts w:ascii="Marianne" w:hAnsi="Marianne"/>
          <w:b/>
        </w:rPr>
      </w:pPr>
      <w:r w:rsidRPr="00FD1932">
        <w:rPr>
          <w:rFonts w:ascii="Marianne" w:hAnsi="Marianne"/>
          <w:b/>
        </w:rPr>
        <w:t>Le cadre juridique des compensations</w:t>
      </w:r>
    </w:p>
    <w:p w14:paraId="6C87DFCE" w14:textId="77777777" w:rsidR="00C21FF2" w:rsidRPr="00FD1932" w:rsidRDefault="00C21FF2" w:rsidP="00C21FF2">
      <w:pPr>
        <w:jc w:val="center"/>
        <w:rPr>
          <w:rFonts w:ascii="Marianne" w:hAnsi="Marianne"/>
          <w:b/>
        </w:rPr>
      </w:pPr>
    </w:p>
    <w:p w14:paraId="33A1C68A" w14:textId="01A6B8EB" w:rsidR="00C21FF2" w:rsidRPr="00FD1932" w:rsidRDefault="00C21FF2" w:rsidP="00C21FF2">
      <w:pPr>
        <w:jc w:val="both"/>
        <w:rPr>
          <w:rFonts w:ascii="Marianne" w:hAnsi="Marianne"/>
        </w:rPr>
      </w:pPr>
      <w:r w:rsidRPr="00FD1932">
        <w:rPr>
          <w:rFonts w:ascii="Marianne" w:hAnsi="Marianne"/>
        </w:rPr>
        <w:t xml:space="preserve">Les compensations </w:t>
      </w:r>
      <w:r w:rsidR="00267980" w:rsidRPr="00FD1932">
        <w:rPr>
          <w:rFonts w:ascii="Marianne" w:hAnsi="Marianne"/>
        </w:rPr>
        <w:t xml:space="preserve">qui sont </w:t>
      </w:r>
      <w:r w:rsidRPr="00FD1932">
        <w:rPr>
          <w:rFonts w:ascii="Marianne" w:hAnsi="Marianne"/>
        </w:rPr>
        <w:t>octroyées en contrepartie de</w:t>
      </w:r>
      <w:r w:rsidR="00267980" w:rsidRPr="00FD1932">
        <w:rPr>
          <w:rFonts w:ascii="Marianne" w:hAnsi="Marianne"/>
        </w:rPr>
        <w:t xml:space="preserve"> l’accompli</w:t>
      </w:r>
      <w:r w:rsidRPr="00FD1932">
        <w:rPr>
          <w:rFonts w:ascii="Marianne" w:hAnsi="Marianne"/>
        </w:rPr>
        <w:t>s</w:t>
      </w:r>
      <w:r w:rsidR="00267980" w:rsidRPr="00FD1932">
        <w:rPr>
          <w:rFonts w:ascii="Marianne" w:hAnsi="Marianne"/>
        </w:rPr>
        <w:t>sement d’</w:t>
      </w:r>
      <w:r w:rsidRPr="00FD1932">
        <w:rPr>
          <w:rFonts w:ascii="Marianne" w:hAnsi="Marianne"/>
        </w:rPr>
        <w:t xml:space="preserve">obligations de service public fixées dans le cadre d’un SIEG ne constituent pas </w:t>
      </w:r>
      <w:r w:rsidR="00692D0A" w:rsidRPr="00FD1932">
        <w:rPr>
          <w:rFonts w:ascii="Marianne" w:hAnsi="Marianne"/>
        </w:rPr>
        <w:t xml:space="preserve">nécessairement </w:t>
      </w:r>
      <w:r w:rsidRPr="00FD1932">
        <w:rPr>
          <w:rFonts w:ascii="Marianne" w:hAnsi="Marianne"/>
        </w:rPr>
        <w:t>des aides d’Etat</w:t>
      </w:r>
      <w:r w:rsidR="00267980" w:rsidRPr="00FD1932">
        <w:rPr>
          <w:rFonts w:ascii="Marianne" w:hAnsi="Marianne"/>
        </w:rPr>
        <w:t xml:space="preserve"> au sens de l’article 107, § 1 TFUE</w:t>
      </w:r>
      <w:r w:rsidRPr="00FD1932">
        <w:rPr>
          <w:rFonts w:ascii="Marianne" w:hAnsi="Marianne"/>
        </w:rPr>
        <w:t xml:space="preserve">. Dans son arrêt </w:t>
      </w:r>
      <w:r w:rsidRPr="00FD1932">
        <w:rPr>
          <w:rFonts w:ascii="Marianne" w:hAnsi="Marianne"/>
          <w:i/>
        </w:rPr>
        <w:t>Altmark</w:t>
      </w:r>
      <w:r w:rsidRPr="00FD1932">
        <w:rPr>
          <w:rFonts w:ascii="Marianne" w:hAnsi="Marianne"/>
        </w:rPr>
        <w:t xml:space="preserve"> de 2003, la CJUE a</w:t>
      </w:r>
      <w:r w:rsidR="00267980" w:rsidRPr="00FD1932">
        <w:rPr>
          <w:rFonts w:ascii="Marianne" w:hAnsi="Marianne"/>
        </w:rPr>
        <w:t>, en effet,</w:t>
      </w:r>
      <w:r w:rsidRPr="00FD1932">
        <w:rPr>
          <w:rFonts w:ascii="Marianne" w:hAnsi="Marianne"/>
        </w:rPr>
        <w:t xml:space="preserve"> précisé les conditions dans lesquelles une compensation</w:t>
      </w:r>
      <w:r w:rsidR="00267980" w:rsidRPr="00FD1932">
        <w:rPr>
          <w:rFonts w:ascii="Marianne" w:hAnsi="Marianne"/>
        </w:rPr>
        <w:t xml:space="preserve"> échappe à la qualification d’aide d’Etat</w:t>
      </w:r>
      <w:r w:rsidRPr="00FD1932">
        <w:rPr>
          <w:rFonts w:ascii="Marianne" w:hAnsi="Marianne"/>
        </w:rPr>
        <w:t xml:space="preserve"> </w:t>
      </w:r>
    </w:p>
    <w:p w14:paraId="604A7AC4" w14:textId="43E73B4C" w:rsidR="00C21FF2" w:rsidRPr="00FD1932" w:rsidRDefault="00C21FF2" w:rsidP="00C21FF2">
      <w:pPr>
        <w:jc w:val="both"/>
        <w:rPr>
          <w:rFonts w:ascii="Marianne" w:hAnsi="Marianne"/>
        </w:rPr>
      </w:pPr>
      <w:r w:rsidRPr="00FD1932">
        <w:rPr>
          <w:rFonts w:ascii="Marianne" w:hAnsi="Marianne"/>
        </w:rPr>
        <w:t>Par ailleurs, les compensations d’un montant</w:t>
      </w:r>
      <w:r w:rsidR="00267980" w:rsidRPr="00FD1932">
        <w:rPr>
          <w:rFonts w:ascii="Marianne" w:hAnsi="Marianne"/>
        </w:rPr>
        <w:t xml:space="preserve"> inférieur aux seuils fixés par la réglementation relative aux</w:t>
      </w:r>
      <w:r w:rsidRPr="00FD1932">
        <w:rPr>
          <w:rFonts w:ascii="Marianne" w:hAnsi="Marianne"/>
        </w:rPr>
        <w:t xml:space="preserve"> aides </w:t>
      </w:r>
      <w:r w:rsidRPr="00FD1932">
        <w:rPr>
          <w:rFonts w:ascii="Marianne" w:hAnsi="Marianne"/>
          <w:i/>
        </w:rPr>
        <w:t>de minimis</w:t>
      </w:r>
      <w:r w:rsidRPr="00FD1932">
        <w:rPr>
          <w:rFonts w:ascii="Marianne" w:hAnsi="Marianne"/>
        </w:rPr>
        <w:t xml:space="preserve"> ne constituent pas </w:t>
      </w:r>
      <w:r w:rsidR="00267980" w:rsidRPr="00FD1932">
        <w:rPr>
          <w:rFonts w:ascii="Marianne" w:hAnsi="Marianne"/>
        </w:rPr>
        <w:t xml:space="preserve">non plus </w:t>
      </w:r>
      <w:r w:rsidRPr="00FD1932">
        <w:rPr>
          <w:rFonts w:ascii="Marianne" w:hAnsi="Marianne"/>
        </w:rPr>
        <w:t>des aides d’Etat, conformément à la définition de ces aides de faible niveau qui, n’étant pas de nature à risquer de fausser la concurrence, sont</w:t>
      </w:r>
      <w:r w:rsidR="00267980" w:rsidRPr="00FD1932">
        <w:rPr>
          <w:rFonts w:ascii="Marianne" w:hAnsi="Marianne"/>
        </w:rPr>
        <w:t xml:space="preserve"> également</w:t>
      </w:r>
      <w:r w:rsidRPr="00FD1932">
        <w:rPr>
          <w:rFonts w:ascii="Marianne" w:hAnsi="Marianne"/>
        </w:rPr>
        <w:t xml:space="preserve"> exclues du champ des aides d’Etat.</w:t>
      </w:r>
    </w:p>
    <w:p w14:paraId="24549ADB" w14:textId="5A3F050F" w:rsidR="00C21FF2" w:rsidRPr="00FD1932" w:rsidRDefault="00267980" w:rsidP="00C21FF2">
      <w:pPr>
        <w:jc w:val="both"/>
        <w:rPr>
          <w:rFonts w:ascii="Marianne" w:hAnsi="Marianne"/>
        </w:rPr>
      </w:pPr>
      <w:r w:rsidRPr="00FD1932">
        <w:rPr>
          <w:rFonts w:ascii="Marianne" w:hAnsi="Marianne"/>
        </w:rPr>
        <w:t xml:space="preserve">Toutefois, </w:t>
      </w:r>
      <w:r w:rsidR="00FC7EA6">
        <w:rPr>
          <w:rFonts w:ascii="Marianne" w:hAnsi="Marianne"/>
        </w:rPr>
        <w:t>l</w:t>
      </w:r>
      <w:r w:rsidR="00C21FF2" w:rsidRPr="00FD1932">
        <w:rPr>
          <w:rFonts w:ascii="Marianne" w:hAnsi="Marianne"/>
        </w:rPr>
        <w:t xml:space="preserve">orsque les compensations n’entrent </w:t>
      </w:r>
      <w:r w:rsidRPr="00FD1932">
        <w:rPr>
          <w:rFonts w:ascii="Marianne" w:hAnsi="Marianne"/>
        </w:rPr>
        <w:t xml:space="preserve">dans aucun de ces deux cas de figure, elles sont réputées être </w:t>
      </w:r>
      <w:r w:rsidR="00FC7EA6" w:rsidRPr="00FD1932">
        <w:rPr>
          <w:rFonts w:ascii="Marianne" w:hAnsi="Marianne"/>
        </w:rPr>
        <w:t>constitutives</w:t>
      </w:r>
      <w:r w:rsidR="00C21FF2" w:rsidRPr="00FD1932">
        <w:rPr>
          <w:rFonts w:ascii="Marianne" w:hAnsi="Marianne"/>
        </w:rPr>
        <w:t xml:space="preserve"> d’aides d’Etat</w:t>
      </w:r>
      <w:r w:rsidRPr="00FD1932">
        <w:rPr>
          <w:rFonts w:ascii="Marianne" w:hAnsi="Marianne"/>
        </w:rPr>
        <w:t xml:space="preserve"> et</w:t>
      </w:r>
      <w:r w:rsidR="00C21FF2" w:rsidRPr="00FD1932">
        <w:rPr>
          <w:rFonts w:ascii="Marianne" w:hAnsi="Marianne"/>
        </w:rPr>
        <w:t xml:space="preserve"> leur compatibilité au Traité </w:t>
      </w:r>
      <w:r w:rsidRPr="00FD1932">
        <w:rPr>
          <w:rFonts w:ascii="Marianne" w:hAnsi="Marianne"/>
        </w:rPr>
        <w:t xml:space="preserve">doit être </w:t>
      </w:r>
      <w:r w:rsidR="00C21FF2" w:rsidRPr="00FD1932">
        <w:rPr>
          <w:rFonts w:ascii="Marianne" w:hAnsi="Marianne"/>
        </w:rPr>
        <w:t xml:space="preserve"> examinée selon les dispositions </w:t>
      </w:r>
      <w:r w:rsidR="005E32B5" w:rsidRPr="00FD1932">
        <w:rPr>
          <w:rFonts w:ascii="Marianne" w:hAnsi="Marianne"/>
        </w:rPr>
        <w:t>soit de la Décision d’exemption</w:t>
      </w:r>
      <w:r w:rsidR="005E32B5" w:rsidRPr="00FD1932">
        <w:rPr>
          <w:rStyle w:val="Appelnotedebasdep"/>
          <w:rFonts w:ascii="Marianne" w:hAnsi="Marianne"/>
        </w:rPr>
        <w:footnoteReference w:id="1"/>
      </w:r>
      <w:r w:rsidR="005E32B5" w:rsidRPr="00FD1932">
        <w:rPr>
          <w:rFonts w:ascii="Marianne" w:hAnsi="Marianne"/>
        </w:rPr>
        <w:t>, soit de l’Encadrement SIEG</w:t>
      </w:r>
      <w:r w:rsidR="005E32B5" w:rsidRPr="00FD1932">
        <w:rPr>
          <w:rStyle w:val="Appelnotedebasdep"/>
          <w:rFonts w:ascii="Marianne" w:hAnsi="Marianne"/>
        </w:rPr>
        <w:footnoteReference w:id="2"/>
      </w:r>
      <w:r w:rsidR="00C21FF2" w:rsidRPr="00FD1932">
        <w:rPr>
          <w:rFonts w:ascii="Marianne" w:hAnsi="Marianne"/>
        </w:rPr>
        <w:t xml:space="preserve"> </w:t>
      </w:r>
    </w:p>
    <w:p w14:paraId="5CC57B61" w14:textId="77777777" w:rsidR="003D736D" w:rsidRPr="00FD1932" w:rsidRDefault="003D736D" w:rsidP="00C21FF2">
      <w:pPr>
        <w:jc w:val="both"/>
        <w:rPr>
          <w:rFonts w:ascii="Marianne" w:hAnsi="Marianne"/>
        </w:rPr>
      </w:pPr>
    </w:p>
    <w:p w14:paraId="1F1B1E71" w14:textId="77777777" w:rsidR="00C21FF2" w:rsidRPr="00FD1932" w:rsidRDefault="00C21FF2" w:rsidP="003D736D">
      <w:pPr>
        <w:pStyle w:val="Paragraphedeliste"/>
        <w:numPr>
          <w:ilvl w:val="0"/>
          <w:numId w:val="5"/>
        </w:numPr>
        <w:jc w:val="both"/>
        <w:rPr>
          <w:rFonts w:ascii="Marianne" w:hAnsi="Marianne"/>
          <w:b/>
          <w:smallCaps/>
        </w:rPr>
      </w:pPr>
      <w:r w:rsidRPr="00FD1932">
        <w:rPr>
          <w:rFonts w:ascii="Marianne" w:hAnsi="Marianne"/>
          <w:b/>
          <w:smallCaps/>
        </w:rPr>
        <w:t>La qualification de la compensation</w:t>
      </w:r>
      <w:r w:rsidRPr="00FD1932">
        <w:rPr>
          <w:rFonts w:cs="Calibri"/>
          <w:b/>
          <w:smallCaps/>
        </w:rPr>
        <w:t> </w:t>
      </w:r>
      <w:r w:rsidRPr="00FD1932">
        <w:rPr>
          <w:rFonts w:ascii="Marianne" w:hAnsi="Marianne"/>
          <w:b/>
          <w:smallCaps/>
        </w:rPr>
        <w:t>: aide d</w:t>
      </w:r>
      <w:r w:rsidRPr="00FD1932">
        <w:rPr>
          <w:rFonts w:ascii="Marianne" w:hAnsi="Marianne" w:cs="Marianne"/>
          <w:b/>
          <w:smallCaps/>
        </w:rPr>
        <w:t>’</w:t>
      </w:r>
      <w:r w:rsidRPr="00FD1932">
        <w:rPr>
          <w:rFonts w:ascii="Marianne" w:hAnsi="Marianne"/>
          <w:b/>
          <w:smallCaps/>
        </w:rPr>
        <w:t>Etat ou non</w:t>
      </w:r>
      <w:r w:rsidRPr="00FD1932">
        <w:rPr>
          <w:rFonts w:cs="Calibri"/>
          <w:b/>
          <w:smallCaps/>
        </w:rPr>
        <w:t> </w:t>
      </w:r>
      <w:r w:rsidRPr="00FD1932">
        <w:rPr>
          <w:rFonts w:ascii="Marianne" w:hAnsi="Marianne"/>
          <w:b/>
          <w:smallCaps/>
        </w:rPr>
        <w:t>?</w:t>
      </w:r>
    </w:p>
    <w:p w14:paraId="6E6BA599" w14:textId="77777777" w:rsidR="003D736D" w:rsidRPr="00FD1932" w:rsidRDefault="003D736D" w:rsidP="003D736D">
      <w:pPr>
        <w:pStyle w:val="Paragraphedeliste"/>
        <w:ind w:left="1080"/>
        <w:jc w:val="both"/>
        <w:rPr>
          <w:rFonts w:ascii="Marianne" w:hAnsi="Marianne"/>
          <w:b/>
          <w:smallCaps/>
        </w:rPr>
      </w:pPr>
    </w:p>
    <w:p w14:paraId="32BCC28A" w14:textId="77777777" w:rsidR="00C21FF2" w:rsidRPr="00FD1932" w:rsidRDefault="00C21FF2" w:rsidP="003D736D">
      <w:pPr>
        <w:pStyle w:val="Paragraphedeliste"/>
        <w:numPr>
          <w:ilvl w:val="0"/>
          <w:numId w:val="6"/>
        </w:numPr>
        <w:jc w:val="both"/>
        <w:rPr>
          <w:rFonts w:ascii="Marianne" w:hAnsi="Marianne"/>
          <w:b/>
          <w:i/>
          <w:u w:val="single"/>
        </w:rPr>
      </w:pPr>
      <w:r w:rsidRPr="00FD1932">
        <w:rPr>
          <w:rFonts w:ascii="Marianne" w:hAnsi="Marianne"/>
          <w:b/>
          <w:i/>
          <w:u w:val="single"/>
        </w:rPr>
        <w:t>La jurisprudence Altmark</w:t>
      </w:r>
    </w:p>
    <w:p w14:paraId="0E7FE79A" w14:textId="77777777" w:rsidR="00C21FF2" w:rsidRPr="00FD1932" w:rsidRDefault="00C21FF2" w:rsidP="00C21FF2">
      <w:pPr>
        <w:jc w:val="both"/>
        <w:rPr>
          <w:rFonts w:ascii="Marianne" w:hAnsi="Marianne"/>
        </w:rPr>
      </w:pPr>
      <w:r w:rsidRPr="00FD1932">
        <w:rPr>
          <w:rFonts w:ascii="Marianne" w:hAnsi="Marianne"/>
        </w:rPr>
        <w:t xml:space="preserve">Selon la jurisprudence dégagée par la CJUE dans son arrêt </w:t>
      </w:r>
      <w:r w:rsidRPr="00FD1932">
        <w:rPr>
          <w:rFonts w:ascii="Marianne" w:hAnsi="Marianne"/>
          <w:i/>
        </w:rPr>
        <w:t>Altmark</w:t>
      </w:r>
      <w:r w:rsidRPr="00FD1932">
        <w:rPr>
          <w:rFonts w:ascii="Marianne" w:hAnsi="Marianne"/>
        </w:rPr>
        <w:t xml:space="preserve"> en 2003, une compensation versée à une entreprise </w:t>
      </w:r>
      <w:r w:rsidR="00267980" w:rsidRPr="00FD1932">
        <w:rPr>
          <w:rFonts w:ascii="Marianne" w:hAnsi="Marianne"/>
        </w:rPr>
        <w:t xml:space="preserve">qui a été </w:t>
      </w:r>
      <w:r w:rsidRPr="00FD1932">
        <w:rPr>
          <w:rFonts w:ascii="Marianne" w:hAnsi="Marianne"/>
        </w:rPr>
        <w:t>chargée par une collectivité publique d’un SIEG ne constitue pas une aide d’Etat si les quatre critères suivants sont remplis</w:t>
      </w:r>
      <w:r w:rsidRPr="00FD1932">
        <w:rPr>
          <w:rFonts w:cs="Calibri"/>
        </w:rPr>
        <w:t> </w:t>
      </w:r>
      <w:r w:rsidRPr="00FD1932">
        <w:rPr>
          <w:rFonts w:ascii="Marianne" w:hAnsi="Marianne"/>
        </w:rPr>
        <w:t xml:space="preserve">: </w:t>
      </w:r>
    </w:p>
    <w:p w14:paraId="5BE4ACA6" w14:textId="77777777" w:rsidR="00C21FF2" w:rsidRPr="00FD1932" w:rsidRDefault="00C21FF2" w:rsidP="00584F5A">
      <w:pPr>
        <w:numPr>
          <w:ilvl w:val="0"/>
          <w:numId w:val="3"/>
        </w:numPr>
        <w:ind w:left="714" w:hanging="357"/>
        <w:contextualSpacing/>
        <w:jc w:val="both"/>
        <w:rPr>
          <w:rFonts w:ascii="Marianne" w:hAnsi="Marianne"/>
        </w:rPr>
      </w:pPr>
      <w:r w:rsidRPr="00FD1932">
        <w:rPr>
          <w:rFonts w:ascii="Marianne" w:hAnsi="Marianne"/>
        </w:rPr>
        <w:t>L’entreprise a été expressément chargée d’</w:t>
      </w:r>
      <w:r w:rsidRPr="00FD1932">
        <w:rPr>
          <w:rFonts w:ascii="Marianne" w:hAnsi="Marianne"/>
          <w:b/>
        </w:rPr>
        <w:t>obligations de service public clairement définies</w:t>
      </w:r>
      <w:r w:rsidR="00A910DC" w:rsidRPr="00FD1932">
        <w:rPr>
          <w:rFonts w:cs="Calibri"/>
          <w:b/>
        </w:rPr>
        <w:t> </w:t>
      </w:r>
      <w:r w:rsidR="00A910DC" w:rsidRPr="00FD1932">
        <w:rPr>
          <w:rFonts w:ascii="Marianne" w:hAnsi="Marianne"/>
        </w:rPr>
        <w:t>;</w:t>
      </w:r>
    </w:p>
    <w:p w14:paraId="6EC054DD" w14:textId="77777777" w:rsidR="00C21FF2" w:rsidRPr="00FD1932" w:rsidRDefault="00C21FF2" w:rsidP="00584F5A">
      <w:pPr>
        <w:numPr>
          <w:ilvl w:val="0"/>
          <w:numId w:val="3"/>
        </w:numPr>
        <w:ind w:left="714" w:hanging="357"/>
        <w:contextualSpacing/>
        <w:jc w:val="both"/>
        <w:rPr>
          <w:rFonts w:ascii="Marianne" w:hAnsi="Marianne"/>
        </w:rPr>
      </w:pPr>
      <w:r w:rsidRPr="00FD1932">
        <w:rPr>
          <w:rFonts w:ascii="Marianne" w:hAnsi="Marianne"/>
        </w:rPr>
        <w:t xml:space="preserve">Les paramètres sur la base desquels est calculée la compensation ont été préalablement établis </w:t>
      </w:r>
      <w:r w:rsidRPr="00FD1932">
        <w:rPr>
          <w:rFonts w:ascii="Marianne" w:hAnsi="Marianne"/>
          <w:b/>
        </w:rPr>
        <w:t>de façon objective et transparente</w:t>
      </w:r>
      <w:r w:rsidR="00A910DC" w:rsidRPr="00FD1932">
        <w:rPr>
          <w:rFonts w:cs="Calibri"/>
        </w:rPr>
        <w:t> </w:t>
      </w:r>
      <w:r w:rsidR="00A910DC" w:rsidRPr="00FD1932">
        <w:rPr>
          <w:rFonts w:ascii="Marianne" w:hAnsi="Marianne"/>
        </w:rPr>
        <w:t>;</w:t>
      </w:r>
    </w:p>
    <w:p w14:paraId="63848616" w14:textId="77777777" w:rsidR="00C21FF2" w:rsidRPr="00FD1932" w:rsidRDefault="00C21FF2" w:rsidP="00584F5A">
      <w:pPr>
        <w:numPr>
          <w:ilvl w:val="0"/>
          <w:numId w:val="3"/>
        </w:numPr>
        <w:ind w:left="714" w:hanging="357"/>
        <w:contextualSpacing/>
        <w:jc w:val="both"/>
        <w:rPr>
          <w:rFonts w:ascii="Marianne" w:hAnsi="Marianne"/>
        </w:rPr>
      </w:pPr>
      <w:r w:rsidRPr="00FD1932">
        <w:rPr>
          <w:rFonts w:ascii="Marianne" w:hAnsi="Marianne"/>
        </w:rPr>
        <w:t xml:space="preserve">Cette compensation n’occasionne </w:t>
      </w:r>
      <w:r w:rsidRPr="00FD1932">
        <w:rPr>
          <w:rFonts w:ascii="Marianne" w:hAnsi="Marianne"/>
          <w:b/>
        </w:rPr>
        <w:t>pas de surcompensation</w:t>
      </w:r>
      <w:r w:rsidR="00A910DC" w:rsidRPr="00FD1932">
        <w:rPr>
          <w:rFonts w:cs="Calibri"/>
          <w:b/>
        </w:rPr>
        <w:t> </w:t>
      </w:r>
      <w:r w:rsidR="00A910DC" w:rsidRPr="00FD1932">
        <w:rPr>
          <w:rFonts w:ascii="Marianne" w:hAnsi="Marianne"/>
        </w:rPr>
        <w:t>;</w:t>
      </w:r>
    </w:p>
    <w:p w14:paraId="6E18F818" w14:textId="77777777" w:rsidR="00C21FF2" w:rsidRPr="00FD1932" w:rsidRDefault="00C21FF2" w:rsidP="00584F5A">
      <w:pPr>
        <w:numPr>
          <w:ilvl w:val="0"/>
          <w:numId w:val="3"/>
        </w:numPr>
        <w:ind w:left="714" w:hanging="357"/>
        <w:contextualSpacing/>
        <w:jc w:val="both"/>
        <w:rPr>
          <w:rFonts w:ascii="Marianne" w:hAnsi="Marianne"/>
        </w:rPr>
      </w:pPr>
      <w:r w:rsidRPr="00FD1932">
        <w:rPr>
          <w:rFonts w:ascii="Marianne" w:hAnsi="Marianne"/>
        </w:rPr>
        <w:t xml:space="preserve">La mission de service public a été confiée à l’entreprise </w:t>
      </w:r>
      <w:r w:rsidRPr="00FD1932">
        <w:rPr>
          <w:rFonts w:ascii="Marianne" w:hAnsi="Marianne"/>
          <w:b/>
        </w:rPr>
        <w:t>à l’issue d’une procédure de marché public</w:t>
      </w:r>
      <w:r w:rsidRPr="00FD1932">
        <w:rPr>
          <w:rFonts w:ascii="Marianne" w:hAnsi="Marianne"/>
        </w:rPr>
        <w:t xml:space="preserve"> </w:t>
      </w:r>
      <w:r w:rsidR="005E08C4" w:rsidRPr="00FD1932">
        <w:rPr>
          <w:rFonts w:ascii="Marianne" w:hAnsi="Marianne"/>
        </w:rPr>
        <w:t>permettant de séle</w:t>
      </w:r>
      <w:r w:rsidR="00A910DC" w:rsidRPr="00FD1932">
        <w:rPr>
          <w:rFonts w:ascii="Marianne" w:hAnsi="Marianne"/>
        </w:rPr>
        <w:t>ctionner le candidat</w:t>
      </w:r>
      <w:r w:rsidR="005E08C4" w:rsidRPr="00FD1932">
        <w:rPr>
          <w:rFonts w:ascii="Marianne" w:hAnsi="Marianne"/>
        </w:rPr>
        <w:t xml:space="preserve"> capable de fournir ces services au moindre coût pour la collectivité </w:t>
      </w:r>
      <w:r w:rsidRPr="00FD1932">
        <w:rPr>
          <w:rFonts w:ascii="Marianne" w:hAnsi="Marianne"/>
        </w:rPr>
        <w:t xml:space="preserve">ou, en l’absence </w:t>
      </w:r>
      <w:r w:rsidRPr="00FD1932">
        <w:rPr>
          <w:rFonts w:ascii="Marianne" w:hAnsi="Marianne"/>
        </w:rPr>
        <w:lastRenderedPageBreak/>
        <w:t xml:space="preserve">d’une telle procédure, le niveau de compensation repose sur une </w:t>
      </w:r>
      <w:r w:rsidRPr="00FD1932">
        <w:rPr>
          <w:rFonts w:ascii="Marianne" w:hAnsi="Marianne"/>
          <w:b/>
        </w:rPr>
        <w:t>analyse des co</w:t>
      </w:r>
      <w:r w:rsidR="003D736D" w:rsidRPr="00FD1932">
        <w:rPr>
          <w:rFonts w:ascii="Marianne" w:hAnsi="Marianne"/>
          <w:b/>
        </w:rPr>
        <w:t xml:space="preserve">ûts que pourrait réaliser une </w:t>
      </w:r>
      <w:r w:rsidRPr="00FD1932">
        <w:rPr>
          <w:rFonts w:ascii="Marianne" w:hAnsi="Marianne"/>
          <w:b/>
        </w:rPr>
        <w:t>entreprise moyenne bien gérée</w:t>
      </w:r>
      <w:r w:rsidR="003D736D" w:rsidRPr="00FD1932">
        <w:rPr>
          <w:rFonts w:ascii="Marianne" w:hAnsi="Marianne"/>
          <w:b/>
        </w:rPr>
        <w:t xml:space="preserve"> et adéquatement équipée</w:t>
      </w:r>
      <w:r w:rsidRPr="00FD1932">
        <w:rPr>
          <w:rFonts w:ascii="Marianne" w:hAnsi="Marianne"/>
        </w:rPr>
        <w:t>.</w:t>
      </w:r>
    </w:p>
    <w:p w14:paraId="4EF2A575" w14:textId="77777777" w:rsidR="00584F5A" w:rsidRPr="00FD1932" w:rsidRDefault="00584F5A" w:rsidP="00584F5A">
      <w:pPr>
        <w:ind w:left="714"/>
        <w:contextualSpacing/>
        <w:jc w:val="both"/>
        <w:rPr>
          <w:rFonts w:ascii="Marianne" w:hAnsi="Marianne"/>
        </w:rPr>
      </w:pPr>
    </w:p>
    <w:p w14:paraId="4DC25358" w14:textId="77777777" w:rsidR="003D736D" w:rsidRPr="00FD1932" w:rsidRDefault="0001432C" w:rsidP="00C21FF2">
      <w:pPr>
        <w:jc w:val="both"/>
        <w:rPr>
          <w:rFonts w:ascii="Marianne" w:hAnsi="Marianne"/>
        </w:rPr>
      </w:pPr>
      <w:r w:rsidRPr="00FD1932">
        <w:rPr>
          <w:rFonts w:ascii="Marianne" w:hAnsi="Marianne"/>
        </w:rPr>
        <w:t xml:space="preserve">L’interprétation du </w:t>
      </w:r>
      <w:r w:rsidR="003D736D" w:rsidRPr="00FD1932">
        <w:rPr>
          <w:rFonts w:ascii="Marianne" w:hAnsi="Marianne"/>
        </w:rPr>
        <w:t>quatrième et dernier</w:t>
      </w:r>
      <w:r w:rsidRPr="00FD1932">
        <w:rPr>
          <w:rFonts w:ascii="Marianne" w:hAnsi="Marianne"/>
        </w:rPr>
        <w:t xml:space="preserve"> critère est délicate</w:t>
      </w:r>
      <w:r w:rsidR="003D736D" w:rsidRPr="00FD1932">
        <w:rPr>
          <w:rFonts w:ascii="Marianne" w:hAnsi="Marianne"/>
        </w:rPr>
        <w:t>. B</w:t>
      </w:r>
      <w:r w:rsidR="00195792" w:rsidRPr="00FD1932">
        <w:rPr>
          <w:rFonts w:ascii="Marianne" w:hAnsi="Marianne"/>
        </w:rPr>
        <w:t xml:space="preserve">ien que la Commission </w:t>
      </w:r>
      <w:r w:rsidR="003D736D" w:rsidRPr="00FD1932">
        <w:rPr>
          <w:rFonts w:ascii="Marianne" w:hAnsi="Marianne"/>
        </w:rPr>
        <w:t xml:space="preserve">européenne </w:t>
      </w:r>
      <w:r w:rsidR="00195792" w:rsidRPr="00FD1932">
        <w:rPr>
          <w:rFonts w:ascii="Marianne" w:hAnsi="Marianne"/>
        </w:rPr>
        <w:t xml:space="preserve">considère que le moyen le plus simple pour les autorités publiques de respecter ce critère consiste à organiser une procédure de marché public ouverte, transparente et non discriminatoire conforme aux directives </w:t>
      </w:r>
      <w:r w:rsidR="003D736D" w:rsidRPr="00FD1932">
        <w:rPr>
          <w:rFonts w:ascii="Marianne" w:hAnsi="Marianne"/>
        </w:rPr>
        <w:t>«</w:t>
      </w:r>
      <w:r w:rsidR="003D736D" w:rsidRPr="00FD1932">
        <w:rPr>
          <w:rFonts w:cs="Calibri"/>
        </w:rPr>
        <w:t> </w:t>
      </w:r>
      <w:r w:rsidR="00195792" w:rsidRPr="00FD1932">
        <w:rPr>
          <w:rFonts w:ascii="Marianne" w:hAnsi="Marianne"/>
        </w:rPr>
        <w:t>marchés publics</w:t>
      </w:r>
      <w:r w:rsidR="003D736D" w:rsidRPr="00FD1932">
        <w:rPr>
          <w:rFonts w:cs="Calibri"/>
        </w:rPr>
        <w:t> </w:t>
      </w:r>
      <w:r w:rsidR="003D736D" w:rsidRPr="00FD1932">
        <w:rPr>
          <w:rFonts w:ascii="Marianne" w:hAnsi="Marianne" w:cs="Marianne"/>
        </w:rPr>
        <w:t>»</w:t>
      </w:r>
      <w:r w:rsidR="00195792" w:rsidRPr="00FD1932">
        <w:rPr>
          <w:rFonts w:ascii="Marianne" w:hAnsi="Marianne"/>
        </w:rPr>
        <w:t xml:space="preserve"> de l’Union européenne, toutes les procédures de passation de marchés publics fixées par ces directives ne permettent pas de remplir </w:t>
      </w:r>
      <w:r w:rsidR="00B07BA2" w:rsidRPr="00FD1932">
        <w:rPr>
          <w:rFonts w:ascii="Marianne" w:hAnsi="Marianne"/>
        </w:rPr>
        <w:t>cette condition. En effet, une procédure de marché public n’exclut l’existence d’une aide que si elle permet de sélectionner le candidat capable de fournir ces services «</w:t>
      </w:r>
      <w:r w:rsidR="00B07BA2" w:rsidRPr="00FD1932">
        <w:rPr>
          <w:rFonts w:cs="Calibri"/>
        </w:rPr>
        <w:t> </w:t>
      </w:r>
      <w:r w:rsidR="00B07BA2" w:rsidRPr="00FD1932">
        <w:rPr>
          <w:rFonts w:ascii="Marianne" w:hAnsi="Marianne"/>
          <w:i/>
        </w:rPr>
        <w:t>au moindre coût pour la collectivité</w:t>
      </w:r>
      <w:r w:rsidR="00B07BA2" w:rsidRPr="00FD1932">
        <w:rPr>
          <w:rFonts w:cs="Calibri"/>
        </w:rPr>
        <w:t> </w:t>
      </w:r>
      <w:r w:rsidR="00B07BA2" w:rsidRPr="00FD1932">
        <w:rPr>
          <w:rFonts w:ascii="Marianne" w:hAnsi="Marianne" w:cs="Marianne"/>
        </w:rPr>
        <w:t>»</w:t>
      </w:r>
      <w:r w:rsidR="00B07BA2" w:rsidRPr="00FD1932">
        <w:rPr>
          <w:rStyle w:val="Appelnotedebasdep"/>
          <w:rFonts w:ascii="Marianne" w:hAnsi="Marianne"/>
        </w:rPr>
        <w:footnoteReference w:id="3"/>
      </w:r>
      <w:r w:rsidR="00B07BA2" w:rsidRPr="00FD1932">
        <w:rPr>
          <w:rFonts w:ascii="Marianne" w:hAnsi="Marianne"/>
        </w:rPr>
        <w:t xml:space="preserve">. </w:t>
      </w:r>
    </w:p>
    <w:p w14:paraId="330428A4" w14:textId="3EB1F740" w:rsidR="00B07BA2" w:rsidRPr="00FD1932" w:rsidRDefault="00331B48" w:rsidP="00C21FF2">
      <w:pPr>
        <w:jc w:val="both"/>
        <w:rPr>
          <w:rFonts w:ascii="Marianne" w:hAnsi="Marianne"/>
        </w:rPr>
      </w:pPr>
      <w:r w:rsidRPr="00FD1932">
        <w:rPr>
          <w:rFonts w:ascii="Marianne" w:hAnsi="Marianne"/>
        </w:rPr>
        <w:t>S</w:t>
      </w:r>
      <w:r w:rsidR="00B07BA2" w:rsidRPr="00FD1932">
        <w:rPr>
          <w:rFonts w:ascii="Marianne" w:hAnsi="Marianne"/>
        </w:rPr>
        <w:t>elon la Commission, une procédure ouverte permet de satisfaire ce quatrième critère</w:t>
      </w:r>
      <w:r w:rsidR="00B07BA2" w:rsidRPr="00FD1932">
        <w:rPr>
          <w:rFonts w:cs="Calibri"/>
        </w:rPr>
        <w:t> </w:t>
      </w:r>
      <w:r w:rsidR="00B07BA2" w:rsidRPr="00FD1932">
        <w:rPr>
          <w:rFonts w:ascii="Marianne" w:hAnsi="Marianne"/>
        </w:rPr>
        <w:t>; une proc</w:t>
      </w:r>
      <w:r w:rsidR="00B07BA2" w:rsidRPr="00FD1932">
        <w:rPr>
          <w:rFonts w:ascii="Marianne" w:hAnsi="Marianne" w:cs="Marianne"/>
        </w:rPr>
        <w:t>é</w:t>
      </w:r>
      <w:r w:rsidR="00B07BA2" w:rsidRPr="00FD1932">
        <w:rPr>
          <w:rFonts w:ascii="Marianne" w:hAnsi="Marianne"/>
        </w:rPr>
        <w:t>dure restreinte peut aussi satisfaire cette condition sauf si les op</w:t>
      </w:r>
      <w:r w:rsidR="00B07BA2" w:rsidRPr="00FD1932">
        <w:rPr>
          <w:rFonts w:ascii="Marianne" w:hAnsi="Marianne" w:cs="Marianne"/>
        </w:rPr>
        <w:t>é</w:t>
      </w:r>
      <w:r w:rsidR="00B07BA2" w:rsidRPr="00FD1932">
        <w:rPr>
          <w:rFonts w:ascii="Marianne" w:hAnsi="Marianne"/>
        </w:rPr>
        <w:t>rateurs int</w:t>
      </w:r>
      <w:r w:rsidR="00B07BA2" w:rsidRPr="00FD1932">
        <w:rPr>
          <w:rFonts w:ascii="Marianne" w:hAnsi="Marianne" w:cs="Marianne"/>
        </w:rPr>
        <w:t>é</w:t>
      </w:r>
      <w:r w:rsidR="00B07BA2" w:rsidRPr="00FD1932">
        <w:rPr>
          <w:rFonts w:ascii="Marianne" w:hAnsi="Marianne"/>
        </w:rPr>
        <w:t>ress</w:t>
      </w:r>
      <w:r w:rsidR="00B07BA2" w:rsidRPr="00FD1932">
        <w:rPr>
          <w:rFonts w:ascii="Marianne" w:hAnsi="Marianne" w:cs="Marianne"/>
        </w:rPr>
        <w:t>é</w:t>
      </w:r>
      <w:r w:rsidR="00B07BA2" w:rsidRPr="00FD1932">
        <w:rPr>
          <w:rFonts w:ascii="Marianne" w:hAnsi="Marianne"/>
        </w:rPr>
        <w:t>s</w:t>
      </w:r>
      <w:r w:rsidR="003D736D" w:rsidRPr="00FD1932">
        <w:rPr>
          <w:rFonts w:ascii="Marianne" w:hAnsi="Marianne"/>
        </w:rPr>
        <w:t xml:space="preserve"> sont empêchés</w:t>
      </w:r>
      <w:r w:rsidR="00B07BA2" w:rsidRPr="00FD1932">
        <w:rPr>
          <w:rFonts w:ascii="Marianne" w:hAnsi="Marianne"/>
        </w:rPr>
        <w:t xml:space="preserve"> de soumissionner sans raison valable. En revanche, le dialogue compéti</w:t>
      </w:r>
      <w:r w:rsidR="003D736D" w:rsidRPr="00FD1932">
        <w:rPr>
          <w:rFonts w:ascii="Marianne" w:hAnsi="Marianne"/>
        </w:rPr>
        <w:t xml:space="preserve">tif et les procédures négociées, parce qu’elles </w:t>
      </w:r>
      <w:r w:rsidR="00B07BA2" w:rsidRPr="00FD1932">
        <w:rPr>
          <w:rFonts w:ascii="Marianne" w:hAnsi="Marianne"/>
        </w:rPr>
        <w:t>conf</w:t>
      </w:r>
      <w:r w:rsidR="003D736D" w:rsidRPr="00FD1932">
        <w:rPr>
          <w:rFonts w:ascii="Marianne" w:hAnsi="Marianne"/>
        </w:rPr>
        <w:t>èrent</w:t>
      </w:r>
      <w:r w:rsidR="00B07BA2" w:rsidRPr="00FD1932">
        <w:rPr>
          <w:rFonts w:ascii="Marianne" w:hAnsi="Marianne"/>
        </w:rPr>
        <w:t xml:space="preserve"> une large marge d’appréciation au pouvoir adjudicateur et p</w:t>
      </w:r>
      <w:r w:rsidR="003D736D" w:rsidRPr="00FD1932">
        <w:rPr>
          <w:rFonts w:ascii="Marianne" w:hAnsi="Marianne"/>
        </w:rPr>
        <w:t xml:space="preserve">euvent </w:t>
      </w:r>
      <w:r w:rsidR="00B07BA2" w:rsidRPr="00FD1932">
        <w:rPr>
          <w:rFonts w:ascii="Marianne" w:hAnsi="Marianne"/>
        </w:rPr>
        <w:t>restreindre la participa</w:t>
      </w:r>
      <w:r w:rsidR="003D736D" w:rsidRPr="00FD1932">
        <w:rPr>
          <w:rFonts w:ascii="Marianne" w:hAnsi="Marianne"/>
        </w:rPr>
        <w:t xml:space="preserve">tion des opérateurs intéressés, </w:t>
      </w:r>
      <w:r w:rsidR="00B07BA2" w:rsidRPr="00FD1932">
        <w:rPr>
          <w:rFonts w:ascii="Marianne" w:hAnsi="Marianne"/>
        </w:rPr>
        <w:t>ne s</w:t>
      </w:r>
      <w:r w:rsidR="003D736D" w:rsidRPr="00FD1932">
        <w:rPr>
          <w:rFonts w:ascii="Marianne" w:hAnsi="Marianne"/>
        </w:rPr>
        <w:t>er</w:t>
      </w:r>
      <w:r w:rsidR="00B07BA2" w:rsidRPr="00FD1932">
        <w:rPr>
          <w:rFonts w:ascii="Marianne" w:hAnsi="Marianne"/>
        </w:rPr>
        <w:t xml:space="preserve">ont pas considérées comme suffisantes pour satisfaire ce quatrième critère, sauf cas exceptionnels. Ces modes de dévolution </w:t>
      </w:r>
      <w:r w:rsidR="00E102D3" w:rsidRPr="00FD1932">
        <w:rPr>
          <w:rFonts w:ascii="Marianne" w:hAnsi="Marianne"/>
        </w:rPr>
        <w:t>doivent</w:t>
      </w:r>
      <w:r w:rsidR="00B07BA2" w:rsidRPr="00FD1932">
        <w:rPr>
          <w:rFonts w:ascii="Marianne" w:hAnsi="Marianne"/>
        </w:rPr>
        <w:t xml:space="preserve"> donc être examinés </w:t>
      </w:r>
      <w:r w:rsidR="00B07BA2" w:rsidRPr="00FD1932">
        <w:rPr>
          <w:rFonts w:ascii="Marianne" w:hAnsi="Marianne"/>
          <w:b/>
        </w:rPr>
        <w:t>au cas par cas</w:t>
      </w:r>
      <w:r w:rsidR="00B07BA2" w:rsidRPr="00FD1932">
        <w:rPr>
          <w:rFonts w:ascii="Marianne" w:hAnsi="Marianne"/>
        </w:rPr>
        <w:t>.</w:t>
      </w:r>
    </w:p>
    <w:p w14:paraId="4197F4F8" w14:textId="77777777" w:rsidR="00905888" w:rsidRPr="00FD1932" w:rsidRDefault="0001432C" w:rsidP="00C21FF2">
      <w:pPr>
        <w:jc w:val="both"/>
        <w:rPr>
          <w:rFonts w:ascii="Marianne" w:hAnsi="Marianne"/>
        </w:rPr>
      </w:pPr>
      <w:r w:rsidRPr="00FD1932">
        <w:rPr>
          <w:rFonts w:ascii="Marianne" w:hAnsi="Marianne"/>
        </w:rPr>
        <w:t>S’ag</w:t>
      </w:r>
      <w:r w:rsidR="003D736D" w:rsidRPr="00FD1932">
        <w:rPr>
          <w:rFonts w:ascii="Marianne" w:hAnsi="Marianne"/>
        </w:rPr>
        <w:t xml:space="preserve">issant de la démonstration de </w:t>
      </w:r>
      <w:r w:rsidRPr="00FD1932">
        <w:rPr>
          <w:rFonts w:ascii="Marianne" w:hAnsi="Marianne"/>
        </w:rPr>
        <w:t>l’entreprise moyenne bien gérée</w:t>
      </w:r>
      <w:r w:rsidRPr="00FD1932">
        <w:rPr>
          <w:rFonts w:cs="Calibri"/>
        </w:rPr>
        <w:t> </w:t>
      </w:r>
      <w:r w:rsidR="003D736D" w:rsidRPr="00FD1932">
        <w:rPr>
          <w:rFonts w:ascii="Marianne" w:hAnsi="Marianne"/>
        </w:rPr>
        <w:t>et adéquatement équipée</w:t>
      </w:r>
      <w:r w:rsidRPr="00FD1932">
        <w:rPr>
          <w:rFonts w:ascii="Marianne" w:hAnsi="Marianne"/>
        </w:rPr>
        <w:t>, les autorités publiques doivent</w:t>
      </w:r>
      <w:r w:rsidR="003D736D" w:rsidRPr="00FD1932">
        <w:rPr>
          <w:rFonts w:ascii="Marianne" w:hAnsi="Marianne"/>
        </w:rPr>
        <w:t>, faute de définition officielle,</w:t>
      </w:r>
      <w:r w:rsidRPr="00FD1932">
        <w:rPr>
          <w:rFonts w:ascii="Marianne" w:hAnsi="Marianne"/>
        </w:rPr>
        <w:t xml:space="preserve"> appliquer des critères objectifs et économiquement reconnus comme représentatifs d’une gestion satisfaisante. </w:t>
      </w:r>
    </w:p>
    <w:p w14:paraId="7D9D9C51" w14:textId="2400116A" w:rsidR="00C21FF2" w:rsidRPr="00FD1932" w:rsidRDefault="00331B48" w:rsidP="00C21FF2">
      <w:pPr>
        <w:jc w:val="both"/>
        <w:rPr>
          <w:rFonts w:ascii="Marianne" w:hAnsi="Marianne"/>
          <w:b/>
        </w:rPr>
      </w:pPr>
      <w:r w:rsidRPr="00FD1932">
        <w:rPr>
          <w:rFonts w:ascii="Marianne" w:hAnsi="Marianne"/>
          <w:b/>
        </w:rPr>
        <w:t xml:space="preserve">Ces critères sont </w:t>
      </w:r>
      <w:r w:rsidR="009A5521" w:rsidRPr="00FD1932">
        <w:rPr>
          <w:rFonts w:ascii="Marianne" w:hAnsi="Marianne"/>
          <w:b/>
        </w:rPr>
        <w:t>cumulatifs</w:t>
      </w:r>
      <w:r w:rsidRPr="00FD1932">
        <w:rPr>
          <w:rFonts w:ascii="Marianne" w:hAnsi="Marianne"/>
          <w:b/>
        </w:rPr>
        <w:t>, de sorte que s</w:t>
      </w:r>
      <w:r w:rsidR="00C21FF2" w:rsidRPr="00FD1932">
        <w:rPr>
          <w:rFonts w:ascii="Marianne" w:hAnsi="Marianne"/>
          <w:b/>
        </w:rPr>
        <w:t xml:space="preserve">i l’un des </w:t>
      </w:r>
      <w:r w:rsidR="001F2FB3" w:rsidRPr="00FD1932">
        <w:rPr>
          <w:rFonts w:ascii="Marianne" w:hAnsi="Marianne"/>
          <w:b/>
        </w:rPr>
        <w:t>quatre critères</w:t>
      </w:r>
      <w:r w:rsidR="00C21FF2" w:rsidRPr="00FD1932">
        <w:rPr>
          <w:rFonts w:ascii="Marianne" w:hAnsi="Marianne"/>
          <w:b/>
        </w:rPr>
        <w:t xml:space="preserve"> précités n’est pas rempli, la compensation peut être constitutive d’une aide d’Etat.</w:t>
      </w:r>
    </w:p>
    <w:p w14:paraId="2282C18B" w14:textId="77777777" w:rsidR="003D736D" w:rsidRPr="00FD1932" w:rsidRDefault="003D736D" w:rsidP="00C21FF2">
      <w:pPr>
        <w:jc w:val="both"/>
        <w:rPr>
          <w:rFonts w:ascii="Marianne" w:hAnsi="Marianne"/>
          <w:b/>
        </w:rPr>
      </w:pPr>
    </w:p>
    <w:p w14:paraId="0D47BD8D" w14:textId="77777777" w:rsidR="00C21FF2" w:rsidRPr="00FD1932" w:rsidRDefault="00C21FF2" w:rsidP="003D736D">
      <w:pPr>
        <w:pStyle w:val="Paragraphedeliste"/>
        <w:numPr>
          <w:ilvl w:val="0"/>
          <w:numId w:val="6"/>
        </w:numPr>
        <w:jc w:val="both"/>
        <w:rPr>
          <w:rFonts w:ascii="Marianne" w:hAnsi="Marianne"/>
          <w:b/>
          <w:i/>
          <w:u w:val="single"/>
        </w:rPr>
      </w:pPr>
      <w:r w:rsidRPr="00FD1932">
        <w:rPr>
          <w:rFonts w:ascii="Marianne" w:hAnsi="Marianne"/>
          <w:b/>
          <w:i/>
          <w:u w:val="single"/>
        </w:rPr>
        <w:t>Les aides de minimis</w:t>
      </w:r>
    </w:p>
    <w:p w14:paraId="143F8BB7" w14:textId="3DC9E5F3" w:rsidR="00331B48" w:rsidRPr="00FD1932" w:rsidRDefault="00C21FF2" w:rsidP="00C21FF2">
      <w:pPr>
        <w:jc w:val="both"/>
        <w:rPr>
          <w:rFonts w:ascii="Marianne" w:hAnsi="Marianne"/>
        </w:rPr>
      </w:pPr>
      <w:r w:rsidRPr="00FD1932">
        <w:rPr>
          <w:rFonts w:ascii="Marianne" w:hAnsi="Marianne"/>
        </w:rPr>
        <w:t>La Commission exclu</w:t>
      </w:r>
      <w:r w:rsidR="00331B48" w:rsidRPr="00FD1932">
        <w:rPr>
          <w:rFonts w:ascii="Marianne" w:hAnsi="Marianne"/>
        </w:rPr>
        <w:t>t</w:t>
      </w:r>
      <w:r w:rsidRPr="00FD1932">
        <w:rPr>
          <w:rFonts w:ascii="Marianne" w:hAnsi="Marianne"/>
        </w:rPr>
        <w:t xml:space="preserve"> du champ des aides d’Etat </w:t>
      </w:r>
      <w:r w:rsidR="00331B48" w:rsidRPr="00FD1932">
        <w:rPr>
          <w:rFonts w:ascii="Marianne" w:hAnsi="Marianne"/>
        </w:rPr>
        <w:t xml:space="preserve">certaines aides </w:t>
      </w:r>
      <w:r w:rsidRPr="00FD1932">
        <w:rPr>
          <w:rFonts w:ascii="Marianne" w:hAnsi="Marianne"/>
        </w:rPr>
        <w:t>d’un faible montant</w:t>
      </w:r>
      <w:r w:rsidR="00331B48" w:rsidRPr="00FD1932">
        <w:rPr>
          <w:rFonts w:ascii="Marianne" w:hAnsi="Marianne"/>
        </w:rPr>
        <w:t xml:space="preserve"> dites aides «</w:t>
      </w:r>
      <w:r w:rsidR="00331B48" w:rsidRPr="00FD1932">
        <w:rPr>
          <w:rFonts w:cs="Calibri"/>
        </w:rPr>
        <w:t> </w:t>
      </w:r>
      <w:r w:rsidR="00331B48" w:rsidRPr="00FD1932">
        <w:rPr>
          <w:rFonts w:ascii="Marianne" w:hAnsi="Marianne"/>
          <w:i/>
        </w:rPr>
        <w:t>de minimis</w:t>
      </w:r>
      <w:r w:rsidR="00331B48" w:rsidRPr="00FD1932">
        <w:rPr>
          <w:rFonts w:cs="Calibri"/>
        </w:rPr>
        <w:t> </w:t>
      </w:r>
      <w:r w:rsidR="00331B48" w:rsidRPr="00FD1932">
        <w:rPr>
          <w:rFonts w:ascii="Marianne" w:hAnsi="Marianne" w:cs="Marianne"/>
        </w:rPr>
        <w:t>»</w:t>
      </w:r>
      <w:r w:rsidRPr="00FD1932">
        <w:rPr>
          <w:rFonts w:ascii="Marianne" w:hAnsi="Marianne"/>
        </w:rPr>
        <w:t xml:space="preserve">. </w:t>
      </w:r>
    </w:p>
    <w:p w14:paraId="64DF9583" w14:textId="3DF14616" w:rsidR="00C21FF2" w:rsidRPr="00FD1932" w:rsidRDefault="00C21FF2" w:rsidP="00C21FF2">
      <w:pPr>
        <w:jc w:val="both"/>
        <w:rPr>
          <w:rFonts w:ascii="Marianne" w:hAnsi="Marianne"/>
        </w:rPr>
      </w:pPr>
      <w:r w:rsidRPr="00FD1932">
        <w:rPr>
          <w:rFonts w:ascii="Marianne" w:hAnsi="Marianne"/>
        </w:rPr>
        <w:t xml:space="preserve">Deux </w:t>
      </w:r>
      <w:r w:rsidR="004E26F9">
        <w:rPr>
          <w:rFonts w:ascii="Marianne" w:hAnsi="Marianne"/>
        </w:rPr>
        <w:t xml:space="preserve">nouveaux </w:t>
      </w:r>
      <w:r w:rsidRPr="00FD1932">
        <w:rPr>
          <w:rFonts w:ascii="Marianne" w:hAnsi="Marianne"/>
        </w:rPr>
        <w:t xml:space="preserve">règlements </w:t>
      </w:r>
      <w:r w:rsidR="009A5521">
        <w:rPr>
          <w:rFonts w:ascii="Marianne" w:hAnsi="Marianne"/>
        </w:rPr>
        <w:t>sont entrés en vigueur au 1</w:t>
      </w:r>
      <w:r w:rsidR="009A5521" w:rsidRPr="004D6426">
        <w:rPr>
          <w:rFonts w:ascii="Marianne" w:hAnsi="Marianne"/>
          <w:vertAlign w:val="superscript"/>
        </w:rPr>
        <w:t>er</w:t>
      </w:r>
      <w:r w:rsidR="009A5521">
        <w:rPr>
          <w:rFonts w:ascii="Marianne" w:hAnsi="Marianne"/>
        </w:rPr>
        <w:t xml:space="preserve"> janvier 2024. Ils </w:t>
      </w:r>
      <w:r w:rsidRPr="00FD1932">
        <w:rPr>
          <w:rFonts w:ascii="Marianne" w:hAnsi="Marianne"/>
        </w:rPr>
        <w:t xml:space="preserve">fixent les plafonds au-dessous desquels les aides sont dites </w:t>
      </w:r>
      <w:r w:rsidRPr="00FD1932">
        <w:rPr>
          <w:rFonts w:ascii="Marianne" w:hAnsi="Marianne"/>
          <w:i/>
        </w:rPr>
        <w:t>de minimis</w:t>
      </w:r>
      <w:r w:rsidR="00331B48" w:rsidRPr="00FD1932">
        <w:rPr>
          <w:rFonts w:cs="Calibri"/>
        </w:rPr>
        <w:t> </w:t>
      </w:r>
      <w:r w:rsidR="00331B48" w:rsidRPr="00FD1932">
        <w:rPr>
          <w:rFonts w:ascii="Marianne" w:hAnsi="Marianne"/>
        </w:rPr>
        <w:t>:</w:t>
      </w:r>
    </w:p>
    <w:p w14:paraId="3CE61E04" w14:textId="63439C84" w:rsidR="00C21FF2" w:rsidRPr="00FD1932" w:rsidRDefault="00331B48" w:rsidP="004E26F9">
      <w:pPr>
        <w:pStyle w:val="Paragraphedeliste"/>
        <w:numPr>
          <w:ilvl w:val="0"/>
          <w:numId w:val="9"/>
        </w:numPr>
        <w:jc w:val="both"/>
        <w:rPr>
          <w:rFonts w:ascii="Marianne" w:hAnsi="Marianne"/>
        </w:rPr>
      </w:pPr>
      <w:r w:rsidRPr="00FD1932">
        <w:rPr>
          <w:rFonts w:ascii="Marianne" w:hAnsi="Marianne"/>
        </w:rPr>
        <w:lastRenderedPageBreak/>
        <w:t>Le règlement (UE) n°</w:t>
      </w:r>
      <w:r w:rsidR="004E26F9" w:rsidRPr="004E26F9">
        <w:rPr>
          <w:rFonts w:ascii="Marianne" w:hAnsi="Marianne"/>
        </w:rPr>
        <w:t xml:space="preserve"> 2023/283</w:t>
      </w:r>
      <w:r w:rsidR="009A5521">
        <w:rPr>
          <w:rFonts w:ascii="Marianne" w:hAnsi="Marianne"/>
        </w:rPr>
        <w:t>1</w:t>
      </w:r>
      <w:r w:rsidR="004E26F9">
        <w:rPr>
          <w:rFonts w:ascii="Marianne" w:hAnsi="Marianne"/>
        </w:rPr>
        <w:t xml:space="preserve"> </w:t>
      </w:r>
      <w:r w:rsidRPr="00FD1932">
        <w:rPr>
          <w:rStyle w:val="Appelnotedebasdep"/>
          <w:rFonts w:ascii="Marianne" w:hAnsi="Marianne"/>
        </w:rPr>
        <w:footnoteReference w:id="4"/>
      </w:r>
      <w:r w:rsidRPr="00FD1932">
        <w:rPr>
          <w:rFonts w:ascii="Marianne" w:hAnsi="Marianne"/>
        </w:rPr>
        <w:t xml:space="preserve"> d’application générale </w:t>
      </w:r>
      <w:r w:rsidR="00C21FF2" w:rsidRPr="00FD1932">
        <w:rPr>
          <w:rFonts w:ascii="Marianne" w:hAnsi="Marianne"/>
        </w:rPr>
        <w:t xml:space="preserve">qualifie d’aide </w:t>
      </w:r>
      <w:r w:rsidR="00C21FF2" w:rsidRPr="00FD1932">
        <w:rPr>
          <w:rFonts w:ascii="Marianne" w:hAnsi="Marianne"/>
          <w:i/>
        </w:rPr>
        <w:t xml:space="preserve">de minimis </w:t>
      </w:r>
      <w:r w:rsidR="00C21FF2" w:rsidRPr="00FD1932">
        <w:rPr>
          <w:rFonts w:ascii="Marianne" w:hAnsi="Marianne"/>
          <w:b/>
        </w:rPr>
        <w:t xml:space="preserve">les aides n’excédant pas un plafond de </w:t>
      </w:r>
      <w:r w:rsidR="004E26F9">
        <w:rPr>
          <w:rFonts w:ascii="Marianne" w:hAnsi="Marianne"/>
          <w:b/>
        </w:rPr>
        <w:t>3</w:t>
      </w:r>
      <w:r w:rsidR="00C21FF2" w:rsidRPr="00FD1932">
        <w:rPr>
          <w:rFonts w:ascii="Marianne" w:hAnsi="Marianne"/>
          <w:b/>
        </w:rPr>
        <w:t>00</w:t>
      </w:r>
      <w:r w:rsidR="00C21FF2" w:rsidRPr="00FD1932">
        <w:rPr>
          <w:rFonts w:cs="Calibri"/>
          <w:b/>
        </w:rPr>
        <w:t> </w:t>
      </w:r>
      <w:r w:rsidR="00C21FF2" w:rsidRPr="00FD1932">
        <w:rPr>
          <w:rFonts w:ascii="Marianne" w:hAnsi="Marianne"/>
          <w:b/>
        </w:rPr>
        <w:t>000 euros octroy</w:t>
      </w:r>
      <w:r w:rsidR="00C21FF2" w:rsidRPr="00FD1932">
        <w:rPr>
          <w:rFonts w:ascii="Marianne" w:hAnsi="Marianne" w:cs="Marianne"/>
          <w:b/>
        </w:rPr>
        <w:t>é</w:t>
      </w:r>
      <w:r w:rsidR="00C21FF2" w:rsidRPr="00FD1932">
        <w:rPr>
          <w:rFonts w:ascii="Marianne" w:hAnsi="Marianne"/>
          <w:b/>
        </w:rPr>
        <w:t xml:space="preserve">s </w:t>
      </w:r>
      <w:r w:rsidR="00C21FF2" w:rsidRPr="00FD1932">
        <w:rPr>
          <w:rFonts w:ascii="Marianne" w:hAnsi="Marianne" w:cs="Marianne"/>
          <w:b/>
        </w:rPr>
        <w:t>à</w:t>
      </w:r>
      <w:r w:rsidR="00C21FF2" w:rsidRPr="00FD1932">
        <w:rPr>
          <w:rFonts w:ascii="Marianne" w:hAnsi="Marianne"/>
          <w:b/>
        </w:rPr>
        <w:t xml:space="preserve"> une entreprise </w:t>
      </w:r>
      <w:r w:rsidRPr="00FD1932">
        <w:rPr>
          <w:rFonts w:ascii="Marianne" w:hAnsi="Marianne"/>
          <w:b/>
        </w:rPr>
        <w:t xml:space="preserve">unique </w:t>
      </w:r>
      <w:r w:rsidR="00C21FF2" w:rsidRPr="00FD1932">
        <w:rPr>
          <w:rFonts w:ascii="Marianne" w:hAnsi="Marianne"/>
          <w:b/>
        </w:rPr>
        <w:t xml:space="preserve">sur une période de trois </w:t>
      </w:r>
      <w:r w:rsidR="00504823">
        <w:rPr>
          <w:rFonts w:ascii="Marianne" w:hAnsi="Marianne"/>
          <w:b/>
        </w:rPr>
        <w:t>années glissantes</w:t>
      </w:r>
      <w:r w:rsidR="00C21FF2" w:rsidRPr="00FD1932">
        <w:rPr>
          <w:rFonts w:ascii="Marianne" w:hAnsi="Marianne"/>
        </w:rPr>
        <w:t>.</w:t>
      </w:r>
    </w:p>
    <w:p w14:paraId="631A44E9" w14:textId="77777777" w:rsidR="00331B48" w:rsidRPr="00FD1932" w:rsidRDefault="00331B48" w:rsidP="00331B48">
      <w:pPr>
        <w:pStyle w:val="Paragraphedeliste"/>
        <w:jc w:val="both"/>
        <w:rPr>
          <w:rFonts w:ascii="Marianne" w:hAnsi="Marianne"/>
        </w:rPr>
      </w:pPr>
    </w:p>
    <w:p w14:paraId="04958581" w14:textId="6E6E2F4A" w:rsidR="00C21FF2" w:rsidRPr="00FD1932" w:rsidRDefault="00331B48" w:rsidP="004E26F9">
      <w:pPr>
        <w:pStyle w:val="Paragraphedeliste"/>
        <w:numPr>
          <w:ilvl w:val="0"/>
          <w:numId w:val="9"/>
        </w:numPr>
        <w:jc w:val="both"/>
        <w:rPr>
          <w:rFonts w:ascii="Marianne" w:hAnsi="Marianne"/>
        </w:rPr>
      </w:pPr>
      <w:r w:rsidRPr="00FD1932">
        <w:rPr>
          <w:rFonts w:ascii="Marianne" w:hAnsi="Marianne"/>
        </w:rPr>
        <w:t xml:space="preserve">Le règlement (UE) n° </w:t>
      </w:r>
      <w:r w:rsidR="004E26F9" w:rsidRPr="004E26F9">
        <w:rPr>
          <w:rFonts w:ascii="Marianne" w:hAnsi="Marianne"/>
        </w:rPr>
        <w:t xml:space="preserve"> 2023/2832</w:t>
      </w:r>
      <w:r w:rsidRPr="00FD1932">
        <w:rPr>
          <w:rStyle w:val="Appelnotedebasdep"/>
          <w:rFonts w:ascii="Marianne" w:hAnsi="Marianne"/>
        </w:rPr>
        <w:footnoteReference w:id="5"/>
      </w:r>
      <w:r w:rsidRPr="00FD1932">
        <w:rPr>
          <w:rFonts w:ascii="Marianne" w:hAnsi="Marianne"/>
        </w:rPr>
        <w:t xml:space="preserve"> prévoit, par ailleurs, </w:t>
      </w:r>
      <w:r w:rsidR="00C21FF2" w:rsidRPr="00FD1932">
        <w:rPr>
          <w:rFonts w:ascii="Marianne" w:hAnsi="Marianne"/>
        </w:rPr>
        <w:t xml:space="preserve">un seuil spécifique aux compensations pour obligations de service public </w:t>
      </w:r>
      <w:r w:rsidRPr="00FD1932">
        <w:rPr>
          <w:rFonts w:ascii="Marianne" w:hAnsi="Marianne"/>
        </w:rPr>
        <w:t xml:space="preserve">et </w:t>
      </w:r>
      <w:r w:rsidR="00C21FF2" w:rsidRPr="00FD1932">
        <w:rPr>
          <w:rFonts w:ascii="Marianne" w:hAnsi="Marianne"/>
        </w:rPr>
        <w:t xml:space="preserve">qualifie ainsi d’aides </w:t>
      </w:r>
      <w:r w:rsidR="00C21FF2" w:rsidRPr="00FD1932">
        <w:rPr>
          <w:rFonts w:ascii="Marianne" w:hAnsi="Marianne"/>
          <w:i/>
        </w:rPr>
        <w:t>de minimis</w:t>
      </w:r>
      <w:r w:rsidR="00C21FF2" w:rsidRPr="00FD1932">
        <w:rPr>
          <w:rFonts w:ascii="Marianne" w:hAnsi="Marianne"/>
        </w:rPr>
        <w:t xml:space="preserve"> </w:t>
      </w:r>
      <w:r w:rsidR="00C21FF2" w:rsidRPr="00FD1932">
        <w:rPr>
          <w:rFonts w:ascii="Marianne" w:hAnsi="Marianne"/>
          <w:b/>
        </w:rPr>
        <w:t xml:space="preserve">les compensations qui n’excèdent pas un plafond de </w:t>
      </w:r>
      <w:r w:rsidR="004E26F9">
        <w:rPr>
          <w:rFonts w:ascii="Marianne" w:hAnsi="Marianne"/>
          <w:b/>
        </w:rPr>
        <w:t>7</w:t>
      </w:r>
      <w:r w:rsidR="00C21FF2" w:rsidRPr="00FD1932">
        <w:rPr>
          <w:rFonts w:ascii="Marianne" w:hAnsi="Marianne"/>
          <w:b/>
        </w:rPr>
        <w:t>50</w:t>
      </w:r>
      <w:r w:rsidR="00C21FF2" w:rsidRPr="00FD1932">
        <w:rPr>
          <w:rFonts w:cs="Calibri"/>
          <w:b/>
        </w:rPr>
        <w:t> </w:t>
      </w:r>
      <w:r w:rsidR="00C21FF2" w:rsidRPr="00FD1932">
        <w:rPr>
          <w:rFonts w:ascii="Marianne" w:hAnsi="Marianne"/>
          <w:b/>
        </w:rPr>
        <w:t>000 euros octroy</w:t>
      </w:r>
      <w:r w:rsidR="00C21FF2" w:rsidRPr="00FD1932">
        <w:rPr>
          <w:rFonts w:ascii="Marianne" w:hAnsi="Marianne" w:cs="Marianne"/>
          <w:b/>
        </w:rPr>
        <w:t>é</w:t>
      </w:r>
      <w:r w:rsidR="00C21FF2" w:rsidRPr="00FD1932">
        <w:rPr>
          <w:rFonts w:ascii="Marianne" w:hAnsi="Marianne"/>
          <w:b/>
        </w:rPr>
        <w:t xml:space="preserve">s à une même entreprise sur une période de trois </w:t>
      </w:r>
      <w:r w:rsidR="00504823">
        <w:rPr>
          <w:rFonts w:ascii="Marianne" w:hAnsi="Marianne"/>
          <w:b/>
        </w:rPr>
        <w:t xml:space="preserve">années glissantes </w:t>
      </w:r>
      <w:r w:rsidRPr="00FD1932">
        <w:rPr>
          <w:rFonts w:ascii="Marianne" w:hAnsi="Marianne"/>
          <w:b/>
        </w:rPr>
        <w:t>pour l’accomplissement d’un SIEG</w:t>
      </w:r>
      <w:r w:rsidR="00C21FF2" w:rsidRPr="00FD1932">
        <w:rPr>
          <w:rFonts w:ascii="Marianne" w:hAnsi="Marianne"/>
        </w:rPr>
        <w:t xml:space="preserve">. </w:t>
      </w:r>
    </w:p>
    <w:p w14:paraId="772F5AE9" w14:textId="77777777" w:rsidR="00C21FF2" w:rsidRPr="00FD1932" w:rsidRDefault="00C21FF2" w:rsidP="00C21FF2">
      <w:pPr>
        <w:jc w:val="both"/>
        <w:rPr>
          <w:rFonts w:ascii="Marianne" w:hAnsi="Marianne"/>
        </w:rPr>
      </w:pPr>
      <w:r w:rsidRPr="00FD1932">
        <w:rPr>
          <w:rFonts w:ascii="Marianne" w:hAnsi="Marianne"/>
        </w:rPr>
        <w:t xml:space="preserve">Les compensations </w:t>
      </w:r>
      <w:r w:rsidR="005E32B5" w:rsidRPr="00FD1932">
        <w:rPr>
          <w:rFonts w:ascii="Marianne" w:hAnsi="Marianne"/>
        </w:rPr>
        <w:t xml:space="preserve">de service public </w:t>
      </w:r>
      <w:r w:rsidRPr="00FD1932">
        <w:rPr>
          <w:rFonts w:ascii="Marianne" w:hAnsi="Marianne"/>
        </w:rPr>
        <w:t>peuvent s’inscrire dans l’un ou l’autre de ces régimes</w:t>
      </w:r>
      <w:r w:rsidRPr="00FD1932">
        <w:rPr>
          <w:rStyle w:val="Appelnotedebasdep"/>
          <w:rFonts w:ascii="Marianne" w:hAnsi="Marianne"/>
        </w:rPr>
        <w:footnoteReference w:id="6"/>
      </w:r>
      <w:r w:rsidRPr="00FD1932">
        <w:rPr>
          <w:rFonts w:ascii="Marianne" w:hAnsi="Marianne"/>
        </w:rPr>
        <w:t xml:space="preserve">. </w:t>
      </w:r>
    </w:p>
    <w:p w14:paraId="6EBFA48D" w14:textId="14192DE9" w:rsidR="00C21FF2" w:rsidRPr="00FD1932" w:rsidRDefault="00C21FF2" w:rsidP="00C21FF2">
      <w:pPr>
        <w:jc w:val="both"/>
        <w:rPr>
          <w:rFonts w:ascii="Marianne" w:hAnsi="Marianne"/>
        </w:rPr>
      </w:pPr>
      <w:r w:rsidRPr="00FD1932">
        <w:rPr>
          <w:rFonts w:ascii="Marianne" w:hAnsi="Marianne"/>
        </w:rPr>
        <w:t xml:space="preserve">Lorsque les compensations n’entrent pas dans les cadres </w:t>
      </w:r>
      <w:r w:rsidRPr="00FD1932">
        <w:rPr>
          <w:rFonts w:ascii="Marianne" w:hAnsi="Marianne"/>
          <w:i/>
        </w:rPr>
        <w:t>Altmark</w:t>
      </w:r>
      <w:r w:rsidRPr="00FD1932">
        <w:rPr>
          <w:rFonts w:ascii="Marianne" w:hAnsi="Marianne"/>
        </w:rPr>
        <w:t xml:space="preserve"> et </w:t>
      </w:r>
      <w:r w:rsidRPr="00FD1932">
        <w:rPr>
          <w:rFonts w:ascii="Marianne" w:hAnsi="Marianne"/>
          <w:i/>
        </w:rPr>
        <w:t>de minimis,</w:t>
      </w:r>
      <w:r w:rsidRPr="00FD1932">
        <w:rPr>
          <w:rFonts w:ascii="Marianne" w:hAnsi="Marianne"/>
        </w:rPr>
        <w:t xml:space="preserve"> elles sont constitutives d’aides d’</w:t>
      </w:r>
      <w:r w:rsidR="009A5521" w:rsidRPr="009A5521">
        <w:rPr>
          <w:rFonts w:ascii="Marianne" w:hAnsi="Marianne"/>
        </w:rPr>
        <w:t>É</w:t>
      </w:r>
      <w:r w:rsidRPr="00FD1932">
        <w:rPr>
          <w:rFonts w:ascii="Marianne" w:hAnsi="Marianne"/>
        </w:rPr>
        <w:t>tat.</w:t>
      </w:r>
    </w:p>
    <w:p w14:paraId="4918B952" w14:textId="77777777" w:rsidR="00AF63E1" w:rsidRPr="00FD1932" w:rsidRDefault="00AF63E1" w:rsidP="00C21FF2">
      <w:pPr>
        <w:jc w:val="both"/>
        <w:rPr>
          <w:rFonts w:ascii="Marianne" w:hAnsi="Marianne"/>
        </w:rPr>
      </w:pPr>
    </w:p>
    <w:p w14:paraId="548A619E" w14:textId="2502F938" w:rsidR="00C21FF2" w:rsidRPr="00FD1932" w:rsidRDefault="00C21FF2" w:rsidP="009A5521">
      <w:pPr>
        <w:pStyle w:val="Paragraphedeliste"/>
        <w:numPr>
          <w:ilvl w:val="0"/>
          <w:numId w:val="5"/>
        </w:numPr>
        <w:jc w:val="both"/>
        <w:rPr>
          <w:rFonts w:ascii="Marianne" w:hAnsi="Marianne"/>
          <w:b/>
          <w:smallCaps/>
        </w:rPr>
      </w:pPr>
      <w:r w:rsidRPr="00FD1932">
        <w:rPr>
          <w:rFonts w:ascii="Marianne" w:hAnsi="Marianne"/>
          <w:b/>
          <w:smallCaps/>
        </w:rPr>
        <w:t>La compatibilité au Traité «</w:t>
      </w:r>
      <w:r w:rsidRPr="00FD1932">
        <w:rPr>
          <w:rFonts w:cs="Calibri"/>
          <w:b/>
          <w:smallCaps/>
        </w:rPr>
        <w:t> </w:t>
      </w:r>
      <w:r w:rsidRPr="00FD1932">
        <w:rPr>
          <w:rFonts w:ascii="Marianne" w:hAnsi="Marianne"/>
          <w:b/>
          <w:smallCaps/>
        </w:rPr>
        <w:t>d’aide d’</w:t>
      </w:r>
      <w:r w:rsidR="009A5521" w:rsidRPr="009A5521">
        <w:rPr>
          <w:rFonts w:ascii="Marianne" w:hAnsi="Marianne"/>
          <w:b/>
          <w:smallCaps/>
        </w:rPr>
        <w:t>É</w:t>
      </w:r>
      <w:r w:rsidRPr="00FD1932">
        <w:rPr>
          <w:rFonts w:ascii="Marianne" w:hAnsi="Marianne"/>
          <w:b/>
          <w:smallCaps/>
        </w:rPr>
        <w:t>tat</w:t>
      </w:r>
      <w:r w:rsidRPr="00FD1932">
        <w:rPr>
          <w:rFonts w:cs="Calibri"/>
          <w:b/>
          <w:smallCaps/>
        </w:rPr>
        <w:t> </w:t>
      </w:r>
      <w:r w:rsidRPr="00FD1932">
        <w:rPr>
          <w:rFonts w:ascii="Marianne" w:hAnsi="Marianne"/>
          <w:b/>
          <w:smallCaps/>
        </w:rPr>
        <w:t>sous forme de compensation de service public</w:t>
      </w:r>
      <w:r w:rsidRPr="00FD1932">
        <w:rPr>
          <w:rFonts w:cs="Calibri"/>
          <w:b/>
          <w:smallCaps/>
        </w:rPr>
        <w:t> </w:t>
      </w:r>
      <w:r w:rsidRPr="00FD1932">
        <w:rPr>
          <w:rFonts w:ascii="Marianne" w:hAnsi="Marianne" w:cs="Marianne"/>
          <w:b/>
          <w:smallCaps/>
        </w:rPr>
        <w:t>»</w:t>
      </w:r>
    </w:p>
    <w:p w14:paraId="5BCFDAA4" w14:textId="7E1FAE4F" w:rsidR="00C21FF2" w:rsidRPr="00FD1932" w:rsidRDefault="00C21FF2" w:rsidP="00C21FF2">
      <w:pPr>
        <w:jc w:val="both"/>
        <w:rPr>
          <w:rFonts w:ascii="Marianne" w:hAnsi="Marianne"/>
        </w:rPr>
      </w:pPr>
      <w:r w:rsidRPr="00FD1932">
        <w:rPr>
          <w:rFonts w:ascii="Marianne" w:hAnsi="Marianne"/>
        </w:rPr>
        <w:t>La qualification d’aide d’</w:t>
      </w:r>
      <w:r w:rsidR="009A5521" w:rsidRPr="009A5521">
        <w:rPr>
          <w:rFonts w:ascii="Marianne" w:hAnsi="Marianne"/>
        </w:rPr>
        <w:t>É</w:t>
      </w:r>
      <w:r w:rsidRPr="00FD1932">
        <w:rPr>
          <w:rFonts w:ascii="Marianne" w:hAnsi="Marianne"/>
        </w:rPr>
        <w:t xml:space="preserve">tat n’entraîne pas nécessairement une incompatibilité de la compensation avec le TFUE. Le paquet </w:t>
      </w:r>
      <w:r w:rsidR="00AF63E1" w:rsidRPr="00FD1932">
        <w:rPr>
          <w:rFonts w:ascii="Marianne" w:hAnsi="Marianne"/>
        </w:rPr>
        <w:t>«</w:t>
      </w:r>
      <w:r w:rsidR="00AF63E1" w:rsidRPr="00FD1932">
        <w:rPr>
          <w:rFonts w:cs="Calibri"/>
        </w:rPr>
        <w:t> </w:t>
      </w:r>
      <w:r w:rsidRPr="00FD1932">
        <w:rPr>
          <w:rFonts w:ascii="Marianne" w:hAnsi="Marianne"/>
        </w:rPr>
        <w:t>Almunia</w:t>
      </w:r>
      <w:r w:rsidR="00AF63E1" w:rsidRPr="00FD1932">
        <w:rPr>
          <w:rFonts w:cs="Calibri"/>
        </w:rPr>
        <w:t> </w:t>
      </w:r>
      <w:r w:rsidR="00AF63E1" w:rsidRPr="00FD1932">
        <w:rPr>
          <w:rFonts w:ascii="Marianne" w:hAnsi="Marianne" w:cs="Marianne"/>
        </w:rPr>
        <w:t>»</w:t>
      </w:r>
      <w:r w:rsidRPr="00FD1932">
        <w:rPr>
          <w:rFonts w:ascii="Marianne" w:hAnsi="Marianne"/>
        </w:rPr>
        <w:t xml:space="preserve"> définit les conditions dans lesquelles les compensations n’entrant pas dans les cadres</w:t>
      </w:r>
      <w:r w:rsidR="005E32B5" w:rsidRPr="00FD1932">
        <w:rPr>
          <w:rFonts w:ascii="Marianne" w:hAnsi="Marianne"/>
        </w:rPr>
        <w:t xml:space="preserve"> de la jurisprudence</w:t>
      </w:r>
      <w:r w:rsidRPr="00FD1932">
        <w:rPr>
          <w:rFonts w:ascii="Marianne" w:hAnsi="Marianne"/>
        </w:rPr>
        <w:t xml:space="preserve"> </w:t>
      </w:r>
      <w:r w:rsidRPr="00FD1932">
        <w:rPr>
          <w:rFonts w:ascii="Marianne" w:hAnsi="Marianne"/>
          <w:i/>
        </w:rPr>
        <w:t>Altmark</w:t>
      </w:r>
      <w:r w:rsidRPr="00FD1932">
        <w:rPr>
          <w:rFonts w:ascii="Marianne" w:hAnsi="Marianne"/>
        </w:rPr>
        <w:t xml:space="preserve"> et </w:t>
      </w:r>
      <w:r w:rsidR="005E32B5" w:rsidRPr="00FD1932">
        <w:rPr>
          <w:rFonts w:ascii="Marianne" w:hAnsi="Marianne"/>
        </w:rPr>
        <w:t xml:space="preserve">de la réglementation </w:t>
      </w:r>
      <w:r w:rsidRPr="00FD1932">
        <w:rPr>
          <w:rFonts w:ascii="Marianne" w:hAnsi="Marianne"/>
          <w:i/>
        </w:rPr>
        <w:t>de minimis</w:t>
      </w:r>
      <w:r w:rsidRPr="00FD1932">
        <w:rPr>
          <w:rFonts w:ascii="Marianne" w:hAnsi="Marianne"/>
        </w:rPr>
        <w:t xml:space="preserve"> peuvent être déclarées compatibles au TFUE.</w:t>
      </w:r>
    </w:p>
    <w:p w14:paraId="5003A32A" w14:textId="2393B919" w:rsidR="005E32B5" w:rsidRPr="00FD1932" w:rsidRDefault="005E32B5" w:rsidP="00C21FF2">
      <w:pPr>
        <w:jc w:val="both"/>
        <w:rPr>
          <w:rFonts w:ascii="Marianne" w:hAnsi="Marianne"/>
        </w:rPr>
      </w:pPr>
      <w:r w:rsidRPr="00FD1932">
        <w:rPr>
          <w:rFonts w:ascii="Marianne" w:hAnsi="Marianne"/>
        </w:rPr>
        <w:t>L</w:t>
      </w:r>
      <w:r w:rsidR="00C21FF2" w:rsidRPr="00FD1932">
        <w:rPr>
          <w:rFonts w:ascii="Marianne" w:hAnsi="Marianne"/>
        </w:rPr>
        <w:t xml:space="preserve">es conditions de compatibilité avec le marché intérieur des compensations SIEG </w:t>
      </w:r>
      <w:r w:rsidRPr="00FD1932">
        <w:rPr>
          <w:rFonts w:ascii="Marianne" w:hAnsi="Marianne"/>
        </w:rPr>
        <w:t xml:space="preserve">telles que </w:t>
      </w:r>
      <w:r w:rsidR="00C21FF2" w:rsidRPr="00FD1932">
        <w:rPr>
          <w:rFonts w:ascii="Marianne" w:hAnsi="Marianne"/>
        </w:rPr>
        <w:t xml:space="preserve">posées par </w:t>
      </w:r>
      <w:r w:rsidRPr="00FD1932">
        <w:rPr>
          <w:rFonts w:ascii="Marianne" w:hAnsi="Marianne"/>
        </w:rPr>
        <w:t>la Décision d’exemption et l’Encadrement SIEG</w:t>
      </w:r>
      <w:r w:rsidR="00C21FF2" w:rsidRPr="00FD1932">
        <w:rPr>
          <w:rFonts w:ascii="Marianne" w:hAnsi="Marianne"/>
        </w:rPr>
        <w:t xml:space="preserve"> </w:t>
      </w:r>
      <w:r w:rsidR="00C21FF2" w:rsidRPr="00FD1932">
        <w:rPr>
          <w:rFonts w:ascii="Marianne" w:hAnsi="Marianne"/>
          <w:u w:val="single"/>
        </w:rPr>
        <w:t>reprennent, tout en les précisant</w:t>
      </w:r>
      <w:r w:rsidR="00C21FF2" w:rsidRPr="00FD1932">
        <w:rPr>
          <w:rFonts w:ascii="Marianne" w:hAnsi="Marianne"/>
        </w:rPr>
        <w:t xml:space="preserve">, les trois premiers critères de l’arrêt </w:t>
      </w:r>
      <w:r w:rsidR="00C21FF2" w:rsidRPr="00FD1932">
        <w:rPr>
          <w:rFonts w:ascii="Marianne" w:hAnsi="Marianne"/>
          <w:i/>
        </w:rPr>
        <w:t>Altmark</w:t>
      </w:r>
      <w:r w:rsidRPr="00FD1932">
        <w:rPr>
          <w:rFonts w:ascii="Marianne" w:hAnsi="Marianne"/>
        </w:rPr>
        <w:t>.</w:t>
      </w:r>
      <w:r w:rsidR="00C21FF2" w:rsidRPr="00FD1932">
        <w:rPr>
          <w:rFonts w:ascii="Marianne" w:hAnsi="Marianne"/>
        </w:rPr>
        <w:t xml:space="preserve"> </w:t>
      </w:r>
    </w:p>
    <w:p w14:paraId="36975714" w14:textId="6E8D4EB6" w:rsidR="00C21FF2" w:rsidRPr="00FD1932" w:rsidRDefault="005E32B5" w:rsidP="005E32B5">
      <w:pPr>
        <w:pStyle w:val="Paragraphedeliste"/>
        <w:numPr>
          <w:ilvl w:val="0"/>
          <w:numId w:val="10"/>
        </w:numPr>
        <w:jc w:val="both"/>
        <w:rPr>
          <w:rFonts w:ascii="Marianne" w:hAnsi="Marianne"/>
          <w:u w:val="single"/>
        </w:rPr>
      </w:pPr>
      <w:r w:rsidRPr="00FD1932">
        <w:rPr>
          <w:rFonts w:ascii="Marianne" w:hAnsi="Marianne"/>
          <w:u w:val="single"/>
        </w:rPr>
        <w:t>C</w:t>
      </w:r>
      <w:r w:rsidR="00C21FF2" w:rsidRPr="00FD1932">
        <w:rPr>
          <w:rFonts w:ascii="Marianne" w:hAnsi="Marianne"/>
          <w:u w:val="single"/>
        </w:rPr>
        <w:t xml:space="preserve">’est donc </w:t>
      </w:r>
      <w:r w:rsidRPr="00FD1932">
        <w:rPr>
          <w:rFonts w:ascii="Marianne" w:hAnsi="Marianne"/>
          <w:u w:val="single"/>
        </w:rPr>
        <w:t>au niveau du</w:t>
      </w:r>
      <w:r w:rsidR="00C21FF2" w:rsidRPr="00FD1932">
        <w:rPr>
          <w:rFonts w:ascii="Marianne" w:hAnsi="Marianne"/>
          <w:u w:val="single"/>
        </w:rPr>
        <w:t xml:space="preserve"> quatrième critère </w:t>
      </w:r>
      <w:r w:rsidR="00C21FF2" w:rsidRPr="00FD1932">
        <w:rPr>
          <w:rFonts w:ascii="Marianne" w:hAnsi="Marianne"/>
          <w:i/>
          <w:u w:val="single"/>
        </w:rPr>
        <w:t>Altmark</w:t>
      </w:r>
      <w:r w:rsidR="00C21FF2" w:rsidRPr="00FD1932">
        <w:rPr>
          <w:rFonts w:ascii="Marianne" w:hAnsi="Marianne"/>
          <w:u w:val="single"/>
        </w:rPr>
        <w:t xml:space="preserve"> qu</w:t>
      </w:r>
      <w:r w:rsidRPr="00FD1932">
        <w:rPr>
          <w:rFonts w:ascii="Marianne" w:hAnsi="Marianne"/>
          <w:u w:val="single"/>
        </w:rPr>
        <w:t>e se situe</w:t>
      </w:r>
      <w:r w:rsidR="00C21FF2" w:rsidRPr="00FD1932">
        <w:rPr>
          <w:rFonts w:ascii="Marianne" w:hAnsi="Marianne"/>
          <w:u w:val="single"/>
        </w:rPr>
        <w:t xml:space="preserve"> la différence essentielle</w:t>
      </w:r>
      <w:r w:rsidRPr="00FD1932">
        <w:rPr>
          <w:rFonts w:ascii="Marianne" w:hAnsi="Marianne"/>
          <w:u w:val="single"/>
        </w:rPr>
        <w:t>.</w:t>
      </w:r>
    </w:p>
    <w:p w14:paraId="66F4656B" w14:textId="77777777" w:rsidR="00AF63E1" w:rsidRPr="00FD1932" w:rsidRDefault="00C21FF2" w:rsidP="00C21FF2">
      <w:pPr>
        <w:pStyle w:val="Default"/>
        <w:spacing w:before="57" w:after="240" w:line="276" w:lineRule="auto"/>
        <w:jc w:val="both"/>
        <w:rPr>
          <w:rFonts w:ascii="Marianne" w:hAnsi="Marianne" w:cs="Times New Roman"/>
          <w:sz w:val="22"/>
          <w:szCs w:val="22"/>
        </w:rPr>
      </w:pPr>
      <w:r w:rsidRPr="00FD1932">
        <w:rPr>
          <w:rFonts w:ascii="Marianne" w:hAnsi="Marianne" w:cs="Times New Roman"/>
          <w:sz w:val="22"/>
          <w:szCs w:val="22"/>
        </w:rPr>
        <w:t>La compatibilité des compensations de SIEG repose donc sur les trois éléments suivants</w:t>
      </w:r>
      <w:r w:rsidRPr="00FD1932">
        <w:rPr>
          <w:rFonts w:ascii="Calibri" w:hAnsi="Calibri" w:cs="Calibri"/>
          <w:sz w:val="22"/>
          <w:szCs w:val="22"/>
        </w:rPr>
        <w:t> </w:t>
      </w:r>
      <w:r w:rsidRPr="00FD1932">
        <w:rPr>
          <w:rFonts w:ascii="Marianne" w:hAnsi="Marianne" w:cs="Times New Roman"/>
          <w:sz w:val="22"/>
          <w:szCs w:val="22"/>
        </w:rPr>
        <w:t>:</w:t>
      </w:r>
    </w:p>
    <w:p w14:paraId="48E39AD4" w14:textId="77777777" w:rsidR="00AF63E1" w:rsidRPr="00FD1932" w:rsidRDefault="00C21FF2" w:rsidP="00AF63E1">
      <w:pPr>
        <w:pStyle w:val="Default"/>
        <w:numPr>
          <w:ilvl w:val="0"/>
          <w:numId w:val="7"/>
        </w:numPr>
        <w:spacing w:before="57" w:after="240" w:line="276" w:lineRule="auto"/>
        <w:ind w:left="714" w:hanging="357"/>
        <w:contextualSpacing/>
        <w:jc w:val="both"/>
        <w:rPr>
          <w:rFonts w:ascii="Marianne" w:hAnsi="Marianne" w:cs="Times New Roman"/>
          <w:sz w:val="22"/>
          <w:szCs w:val="22"/>
        </w:rPr>
      </w:pPr>
      <w:r w:rsidRPr="00FD1932">
        <w:rPr>
          <w:rFonts w:ascii="Marianne" w:hAnsi="Marianne" w:cs="Times New Roman"/>
          <w:sz w:val="22"/>
          <w:szCs w:val="22"/>
        </w:rPr>
        <w:t>l’existence d’un mandat attribuant la mission de SIEG et définissant précisément les obligations de service pub</w:t>
      </w:r>
      <w:r w:rsidR="00AF63E1" w:rsidRPr="00FD1932">
        <w:rPr>
          <w:rFonts w:ascii="Marianne" w:hAnsi="Marianne" w:cs="Times New Roman"/>
          <w:sz w:val="22"/>
          <w:szCs w:val="22"/>
        </w:rPr>
        <w:t>lic à la charge des opérateurs</w:t>
      </w:r>
      <w:r w:rsidR="00AF63E1" w:rsidRPr="00FD1932">
        <w:rPr>
          <w:rFonts w:ascii="Calibri" w:hAnsi="Calibri" w:cs="Calibri"/>
          <w:sz w:val="22"/>
          <w:szCs w:val="22"/>
        </w:rPr>
        <w:t> </w:t>
      </w:r>
      <w:r w:rsidR="00AF63E1" w:rsidRPr="00FD1932">
        <w:rPr>
          <w:rFonts w:ascii="Marianne" w:hAnsi="Marianne" w:cs="Times New Roman"/>
          <w:sz w:val="22"/>
          <w:szCs w:val="22"/>
        </w:rPr>
        <w:t xml:space="preserve">; </w:t>
      </w:r>
    </w:p>
    <w:p w14:paraId="5EB79280" w14:textId="77777777" w:rsidR="00AF63E1" w:rsidRPr="00FD1932" w:rsidRDefault="00C21FF2" w:rsidP="00AF63E1">
      <w:pPr>
        <w:pStyle w:val="Default"/>
        <w:numPr>
          <w:ilvl w:val="0"/>
          <w:numId w:val="7"/>
        </w:numPr>
        <w:spacing w:before="57" w:after="240" w:line="276" w:lineRule="auto"/>
        <w:ind w:left="714" w:hanging="357"/>
        <w:contextualSpacing/>
        <w:jc w:val="both"/>
        <w:rPr>
          <w:rFonts w:ascii="Marianne" w:hAnsi="Marianne" w:cs="Times New Roman"/>
          <w:sz w:val="22"/>
          <w:szCs w:val="22"/>
        </w:rPr>
      </w:pPr>
      <w:r w:rsidRPr="00FD1932">
        <w:rPr>
          <w:rFonts w:ascii="Marianne" w:hAnsi="Marianne" w:cs="Times New Roman"/>
          <w:sz w:val="22"/>
          <w:szCs w:val="22"/>
        </w:rPr>
        <w:t xml:space="preserve">le paramétrage </w:t>
      </w:r>
      <w:r w:rsidR="00AF63E1" w:rsidRPr="00FD1932">
        <w:rPr>
          <w:rFonts w:ascii="Marianne" w:hAnsi="Marianne" w:cs="Times New Roman"/>
          <w:i/>
          <w:sz w:val="22"/>
          <w:szCs w:val="22"/>
        </w:rPr>
        <w:t xml:space="preserve">ex </w:t>
      </w:r>
      <w:r w:rsidRPr="00FD1932">
        <w:rPr>
          <w:rFonts w:ascii="Marianne" w:hAnsi="Marianne" w:cs="Times New Roman"/>
          <w:i/>
          <w:sz w:val="22"/>
          <w:szCs w:val="22"/>
        </w:rPr>
        <w:t>ante</w:t>
      </w:r>
      <w:r w:rsidRPr="00FD1932">
        <w:rPr>
          <w:rFonts w:ascii="Marianne" w:hAnsi="Marianne" w:cs="Times New Roman"/>
          <w:sz w:val="22"/>
          <w:szCs w:val="22"/>
        </w:rPr>
        <w:t xml:space="preserve"> de la compensation des surcoûts</w:t>
      </w:r>
      <w:r w:rsidR="00AF63E1" w:rsidRPr="00FD1932">
        <w:rPr>
          <w:rFonts w:ascii="Calibri" w:hAnsi="Calibri" w:cs="Calibri"/>
          <w:sz w:val="22"/>
          <w:szCs w:val="22"/>
        </w:rPr>
        <w:t> </w:t>
      </w:r>
      <w:r w:rsidR="00AF63E1" w:rsidRPr="00FD1932">
        <w:rPr>
          <w:rFonts w:ascii="Marianne" w:hAnsi="Marianne" w:cs="Times New Roman"/>
          <w:sz w:val="22"/>
          <w:szCs w:val="22"/>
        </w:rPr>
        <w:t xml:space="preserve">; </w:t>
      </w:r>
    </w:p>
    <w:p w14:paraId="437C3063" w14:textId="77777777" w:rsidR="00C21FF2" w:rsidRPr="00FD1932" w:rsidRDefault="00C21FF2" w:rsidP="00AF63E1">
      <w:pPr>
        <w:pStyle w:val="Default"/>
        <w:numPr>
          <w:ilvl w:val="0"/>
          <w:numId w:val="7"/>
        </w:numPr>
        <w:spacing w:before="57" w:after="240" w:line="276" w:lineRule="auto"/>
        <w:ind w:left="714" w:hanging="357"/>
        <w:contextualSpacing/>
        <w:jc w:val="both"/>
        <w:rPr>
          <w:rFonts w:ascii="Marianne" w:hAnsi="Marianne" w:cs="Times New Roman"/>
          <w:sz w:val="22"/>
          <w:szCs w:val="22"/>
        </w:rPr>
      </w:pPr>
      <w:r w:rsidRPr="00FD1932">
        <w:rPr>
          <w:rFonts w:ascii="Marianne" w:hAnsi="Marianne" w:cs="Times New Roman"/>
          <w:sz w:val="22"/>
          <w:szCs w:val="22"/>
        </w:rPr>
        <w:t xml:space="preserve">l’absence de surcompensation au profit des opérateurs de SIEG. </w:t>
      </w:r>
    </w:p>
    <w:p w14:paraId="09FE0C58" w14:textId="4255A943" w:rsidR="00C21FF2" w:rsidRPr="00FD1932" w:rsidRDefault="00C21FF2" w:rsidP="00C21FF2">
      <w:pPr>
        <w:pStyle w:val="Default"/>
        <w:spacing w:before="57" w:after="240" w:line="276" w:lineRule="auto"/>
        <w:jc w:val="both"/>
        <w:rPr>
          <w:rFonts w:ascii="Marianne" w:hAnsi="Marianne"/>
          <w:sz w:val="22"/>
          <w:szCs w:val="22"/>
        </w:rPr>
      </w:pPr>
      <w:r w:rsidRPr="00FD1932">
        <w:rPr>
          <w:rFonts w:ascii="Marianne" w:hAnsi="Marianne"/>
          <w:sz w:val="22"/>
          <w:szCs w:val="22"/>
        </w:rPr>
        <w:lastRenderedPageBreak/>
        <w:t>A l’instar de la réglementation précédente</w:t>
      </w:r>
      <w:r w:rsidR="00FB6194" w:rsidRPr="00FD1932">
        <w:rPr>
          <w:rStyle w:val="Appelnotedebasdep"/>
          <w:rFonts w:ascii="Marianne" w:hAnsi="Marianne"/>
          <w:sz w:val="22"/>
          <w:szCs w:val="22"/>
        </w:rPr>
        <w:footnoteReference w:id="7"/>
      </w:r>
      <w:r w:rsidRPr="00FD1932">
        <w:rPr>
          <w:rFonts w:ascii="Marianne" w:hAnsi="Marianne"/>
          <w:sz w:val="22"/>
          <w:szCs w:val="22"/>
        </w:rPr>
        <w:t xml:space="preserve">, la </w:t>
      </w:r>
      <w:r w:rsidR="00393885" w:rsidRPr="00FD1932">
        <w:rPr>
          <w:rFonts w:ascii="Marianne" w:hAnsi="Marianne"/>
          <w:sz w:val="22"/>
          <w:szCs w:val="22"/>
        </w:rPr>
        <w:t>Décision d’exemption</w:t>
      </w:r>
      <w:r w:rsidRPr="00FD1932">
        <w:rPr>
          <w:rFonts w:ascii="Marianne" w:hAnsi="Marianne"/>
          <w:sz w:val="22"/>
          <w:szCs w:val="22"/>
        </w:rPr>
        <w:t xml:space="preserve"> pré</w:t>
      </w:r>
      <w:r w:rsidR="00AF63E1" w:rsidRPr="00FD1932">
        <w:rPr>
          <w:rFonts w:ascii="Marianne" w:hAnsi="Marianne"/>
          <w:sz w:val="22"/>
          <w:szCs w:val="22"/>
        </w:rPr>
        <w:t>voit que les compensations son</w:t>
      </w:r>
      <w:r w:rsidRPr="00FD1932">
        <w:rPr>
          <w:rFonts w:ascii="Marianne" w:hAnsi="Marianne"/>
          <w:sz w:val="22"/>
          <w:szCs w:val="22"/>
        </w:rPr>
        <w:t xml:space="preserve">t exonérées de l’obligation de notification à la Commission pour certains secteurs d’activités ou à raison de seuils </w:t>
      </w:r>
      <w:r w:rsidR="00393885" w:rsidRPr="00FD1932">
        <w:rPr>
          <w:rFonts w:ascii="Marianne" w:hAnsi="Marianne"/>
          <w:sz w:val="22"/>
          <w:szCs w:val="22"/>
        </w:rPr>
        <w:t xml:space="preserve">qu’elle fixe. </w:t>
      </w:r>
    </w:p>
    <w:p w14:paraId="2451A3B2" w14:textId="6B4B4DD2" w:rsidR="00AF63E1" w:rsidRPr="00FD1932" w:rsidRDefault="00C21FF2" w:rsidP="00C21FF2">
      <w:pPr>
        <w:pStyle w:val="Default"/>
        <w:numPr>
          <w:ilvl w:val="0"/>
          <w:numId w:val="10"/>
        </w:numPr>
        <w:spacing w:before="57" w:after="240" w:line="276" w:lineRule="auto"/>
        <w:jc w:val="both"/>
        <w:rPr>
          <w:rFonts w:ascii="Marianne" w:hAnsi="Marianne"/>
          <w:sz w:val="22"/>
          <w:szCs w:val="22"/>
        </w:rPr>
      </w:pPr>
      <w:r w:rsidRPr="00FD1932">
        <w:rPr>
          <w:rFonts w:ascii="Marianne" w:hAnsi="Marianne"/>
          <w:sz w:val="22"/>
          <w:szCs w:val="22"/>
        </w:rPr>
        <w:t>En dehors de ces cas, les compensations devront être notifiées à la Commission qui vérifiera leur compatibilité au regard des dispositions de l’</w:t>
      </w:r>
      <w:r w:rsidR="00393885" w:rsidRPr="00FD1932">
        <w:rPr>
          <w:rFonts w:ascii="Marianne" w:hAnsi="Marianne"/>
          <w:sz w:val="22"/>
          <w:szCs w:val="22"/>
        </w:rPr>
        <w:t>E</w:t>
      </w:r>
      <w:r w:rsidRPr="00FD1932">
        <w:rPr>
          <w:rFonts w:ascii="Marianne" w:hAnsi="Marianne"/>
          <w:sz w:val="22"/>
          <w:szCs w:val="22"/>
        </w:rPr>
        <w:t xml:space="preserve">ncadrement. </w:t>
      </w:r>
    </w:p>
    <w:p w14:paraId="6B01A107" w14:textId="77777777" w:rsidR="00C21FF2" w:rsidRPr="00FD1932" w:rsidRDefault="00C21FF2" w:rsidP="00AF63E1">
      <w:pPr>
        <w:pStyle w:val="Paragraphedeliste"/>
        <w:numPr>
          <w:ilvl w:val="0"/>
          <w:numId w:val="6"/>
        </w:numPr>
        <w:jc w:val="both"/>
        <w:rPr>
          <w:rFonts w:ascii="Marianne" w:hAnsi="Marianne"/>
          <w:b/>
          <w:i/>
          <w:u w:val="single"/>
        </w:rPr>
      </w:pPr>
      <w:r w:rsidRPr="00FD1932">
        <w:rPr>
          <w:rFonts w:ascii="Marianne" w:hAnsi="Marianne"/>
          <w:b/>
          <w:i/>
          <w:u w:val="single"/>
        </w:rPr>
        <w:t>Les compensations exemptées de notification à la Commission européenne</w:t>
      </w:r>
      <w:r w:rsidR="00393885" w:rsidRPr="00FD1932">
        <w:rPr>
          <w:rFonts w:ascii="Marianne" w:hAnsi="Marianne"/>
          <w:b/>
          <w:i/>
          <w:u w:val="single"/>
        </w:rPr>
        <w:t xml:space="preserve"> au titre de la Décision d’exemption </w:t>
      </w:r>
    </w:p>
    <w:p w14:paraId="5AD465DB" w14:textId="77777777" w:rsidR="00C21FF2" w:rsidRPr="00FD1932" w:rsidRDefault="00C21FF2" w:rsidP="00C21FF2">
      <w:pPr>
        <w:jc w:val="both"/>
        <w:rPr>
          <w:rFonts w:ascii="Marianne" w:hAnsi="Marianne"/>
        </w:rPr>
      </w:pPr>
      <w:r w:rsidRPr="00FD1932">
        <w:rPr>
          <w:rFonts w:ascii="Marianne" w:hAnsi="Marianne"/>
        </w:rPr>
        <w:t xml:space="preserve">La </w:t>
      </w:r>
      <w:r w:rsidR="00416439" w:rsidRPr="00FD1932">
        <w:rPr>
          <w:rFonts w:ascii="Marianne" w:hAnsi="Marianne"/>
        </w:rPr>
        <w:t>D</w:t>
      </w:r>
      <w:r w:rsidRPr="00FD1932">
        <w:rPr>
          <w:rFonts w:ascii="Marianne" w:hAnsi="Marianne"/>
        </w:rPr>
        <w:t>écision du 20 décembre 2011 fixe le champ d’application de cette exemption aux aides suivantes</w:t>
      </w:r>
      <w:r w:rsidRPr="00FD1932">
        <w:rPr>
          <w:rFonts w:cs="Calibri"/>
        </w:rPr>
        <w:t> </w:t>
      </w:r>
      <w:r w:rsidRPr="00FD1932">
        <w:rPr>
          <w:rFonts w:ascii="Marianne" w:hAnsi="Marianne"/>
        </w:rPr>
        <w:t>:</w:t>
      </w:r>
    </w:p>
    <w:p w14:paraId="215469D0" w14:textId="77777777" w:rsidR="00C21FF2" w:rsidRPr="00FD1932" w:rsidRDefault="00C21FF2" w:rsidP="00AF63E1">
      <w:pPr>
        <w:numPr>
          <w:ilvl w:val="0"/>
          <w:numId w:val="1"/>
        </w:numPr>
        <w:ind w:left="568" w:hanging="284"/>
        <w:contextualSpacing/>
        <w:jc w:val="both"/>
        <w:rPr>
          <w:rFonts w:ascii="Marianne" w:hAnsi="Marianne"/>
        </w:rPr>
      </w:pPr>
      <w:r w:rsidRPr="00FD1932">
        <w:rPr>
          <w:rFonts w:ascii="Marianne" w:hAnsi="Marianne"/>
        </w:rPr>
        <w:t>les compensations ne dépassant pas un montant annuel de 15 millions d’euros pour la prestation de SIEG dans des domaines autres que le transport et les infrastructures de transport</w:t>
      </w:r>
      <w:r w:rsidRPr="00FD1932">
        <w:rPr>
          <w:rFonts w:cs="Calibri"/>
        </w:rPr>
        <w:t> </w:t>
      </w:r>
      <w:r w:rsidRPr="00FD1932">
        <w:rPr>
          <w:rFonts w:ascii="Marianne" w:hAnsi="Marianne"/>
        </w:rPr>
        <w:t>;</w:t>
      </w:r>
    </w:p>
    <w:p w14:paraId="3E6C0F94" w14:textId="77777777" w:rsidR="00F70195" w:rsidRPr="00FD1932" w:rsidRDefault="00C21FF2" w:rsidP="00AF63E1">
      <w:pPr>
        <w:numPr>
          <w:ilvl w:val="0"/>
          <w:numId w:val="1"/>
        </w:numPr>
        <w:ind w:left="568" w:hanging="284"/>
        <w:contextualSpacing/>
        <w:jc w:val="both"/>
        <w:rPr>
          <w:rFonts w:ascii="Marianne" w:hAnsi="Marianne"/>
        </w:rPr>
      </w:pPr>
      <w:r w:rsidRPr="00FD1932">
        <w:rPr>
          <w:rFonts w:ascii="Marianne" w:hAnsi="Marianne"/>
        </w:rPr>
        <w:t xml:space="preserve">les compensations octroyées aux </w:t>
      </w:r>
      <w:r w:rsidR="00F70195" w:rsidRPr="00FD1932">
        <w:rPr>
          <w:rFonts w:ascii="Marianne" w:hAnsi="Marianne"/>
        </w:rPr>
        <w:t>hôpitaux</w:t>
      </w:r>
      <w:r w:rsidR="00C67FB5" w:rsidRPr="00FD1932">
        <w:rPr>
          <w:rFonts w:cs="Calibri"/>
        </w:rPr>
        <w:t> </w:t>
      </w:r>
      <w:r w:rsidR="00C67FB5" w:rsidRPr="00FD1932">
        <w:rPr>
          <w:rFonts w:ascii="Marianne" w:hAnsi="Marianne"/>
        </w:rPr>
        <w:t>;</w:t>
      </w:r>
    </w:p>
    <w:p w14:paraId="529E7163" w14:textId="77777777" w:rsidR="00C21FF2" w:rsidRPr="00FD1932" w:rsidRDefault="00F70195" w:rsidP="00AF63E1">
      <w:pPr>
        <w:numPr>
          <w:ilvl w:val="0"/>
          <w:numId w:val="1"/>
        </w:numPr>
        <w:ind w:left="568" w:hanging="284"/>
        <w:contextualSpacing/>
        <w:jc w:val="both"/>
        <w:rPr>
          <w:rFonts w:ascii="Marianne" w:hAnsi="Marianne"/>
        </w:rPr>
      </w:pPr>
      <w:r w:rsidRPr="00FD1932">
        <w:rPr>
          <w:rFonts w:ascii="Marianne" w:hAnsi="Marianne"/>
        </w:rPr>
        <w:t xml:space="preserve">les compensations octroyées </w:t>
      </w:r>
      <w:r w:rsidR="00C21FF2" w:rsidRPr="00FD1932">
        <w:rPr>
          <w:rFonts w:ascii="Marianne" w:hAnsi="Marianne"/>
        </w:rPr>
        <w:t xml:space="preserve"> aux services répondant à </w:t>
      </w:r>
      <w:r w:rsidR="00495F8E" w:rsidRPr="00FD1932">
        <w:rPr>
          <w:rFonts w:ascii="Marianne" w:hAnsi="Marianne"/>
        </w:rPr>
        <w:t>certains</w:t>
      </w:r>
      <w:r w:rsidR="00C21FF2" w:rsidRPr="00FD1932">
        <w:rPr>
          <w:rFonts w:ascii="Marianne" w:hAnsi="Marianne"/>
        </w:rPr>
        <w:t xml:space="preserve"> besoins sociaux (soins de santé et de longue durée, garde d’enfants, accès et réinsertion sur le marché du travail, logement social, soins et inclusion des groupes vulnérables)</w:t>
      </w:r>
      <w:r w:rsidR="00C21FF2" w:rsidRPr="00FD1932">
        <w:rPr>
          <w:rFonts w:cs="Calibri"/>
        </w:rPr>
        <w:t> </w:t>
      </w:r>
      <w:r w:rsidR="00C21FF2" w:rsidRPr="00FD1932">
        <w:rPr>
          <w:rFonts w:ascii="Marianne" w:hAnsi="Marianne"/>
        </w:rPr>
        <w:t>;</w:t>
      </w:r>
    </w:p>
    <w:p w14:paraId="2370CDE4" w14:textId="77777777" w:rsidR="00393885" w:rsidRPr="00FD1932" w:rsidRDefault="00C21FF2" w:rsidP="00393885">
      <w:pPr>
        <w:numPr>
          <w:ilvl w:val="0"/>
          <w:numId w:val="1"/>
        </w:numPr>
        <w:ind w:left="567" w:hanging="283"/>
        <w:jc w:val="both"/>
        <w:rPr>
          <w:rFonts w:ascii="Marianne" w:hAnsi="Marianne"/>
        </w:rPr>
      </w:pPr>
      <w:r w:rsidRPr="00FD1932">
        <w:rPr>
          <w:rFonts w:ascii="Marianne" w:hAnsi="Marianne"/>
        </w:rPr>
        <w:t>les compensations octroyées pour des liaisons aériennes ou maritimes avec les îles dont le trafic annuel moyen n’a pas dépassé 300</w:t>
      </w:r>
      <w:r w:rsidRPr="00FD1932">
        <w:rPr>
          <w:rFonts w:cs="Calibri"/>
        </w:rPr>
        <w:t> </w:t>
      </w:r>
      <w:r w:rsidRPr="00FD1932">
        <w:rPr>
          <w:rFonts w:ascii="Marianne" w:hAnsi="Marianne"/>
        </w:rPr>
        <w:t>000 passagers au cours des deux exercices pr</w:t>
      </w:r>
      <w:r w:rsidRPr="00FD1932">
        <w:rPr>
          <w:rFonts w:ascii="Marianne" w:hAnsi="Marianne" w:cs="Marianne"/>
        </w:rPr>
        <w:t>é</w:t>
      </w:r>
      <w:r w:rsidRPr="00FD1932">
        <w:rPr>
          <w:rFonts w:ascii="Marianne" w:hAnsi="Marianne"/>
        </w:rPr>
        <w:t>c</w:t>
      </w:r>
      <w:r w:rsidRPr="00FD1932">
        <w:rPr>
          <w:rFonts w:ascii="Marianne" w:hAnsi="Marianne" w:cs="Marianne"/>
        </w:rPr>
        <w:t>é</w:t>
      </w:r>
      <w:r w:rsidRPr="00FD1932">
        <w:rPr>
          <w:rFonts w:ascii="Marianne" w:hAnsi="Marianne"/>
        </w:rPr>
        <w:t>dant celui de l</w:t>
      </w:r>
      <w:r w:rsidRPr="00FD1932">
        <w:rPr>
          <w:rFonts w:ascii="Marianne" w:hAnsi="Marianne" w:cs="Marianne"/>
        </w:rPr>
        <w:t>’</w:t>
      </w:r>
      <w:r w:rsidRPr="00FD1932">
        <w:rPr>
          <w:rFonts w:ascii="Marianne" w:hAnsi="Marianne"/>
        </w:rPr>
        <w:t>octroi du SIEG</w:t>
      </w:r>
      <w:r w:rsidR="00C67FB5" w:rsidRPr="00FD1932">
        <w:rPr>
          <w:rFonts w:cs="Calibri"/>
        </w:rPr>
        <w:t> </w:t>
      </w:r>
      <w:r w:rsidR="00C67FB5" w:rsidRPr="00FD1932">
        <w:rPr>
          <w:rFonts w:ascii="Marianne" w:hAnsi="Marianne"/>
        </w:rPr>
        <w:t>;</w:t>
      </w:r>
    </w:p>
    <w:p w14:paraId="39975F06" w14:textId="77777777" w:rsidR="00393885" w:rsidRPr="00FD1932" w:rsidRDefault="00C21FF2" w:rsidP="00393885">
      <w:pPr>
        <w:numPr>
          <w:ilvl w:val="0"/>
          <w:numId w:val="1"/>
        </w:numPr>
        <w:ind w:left="567" w:hanging="283"/>
        <w:jc w:val="both"/>
        <w:rPr>
          <w:rFonts w:ascii="Marianne" w:hAnsi="Marianne"/>
        </w:rPr>
      </w:pPr>
      <w:r w:rsidRPr="00FD1932">
        <w:rPr>
          <w:rFonts w:ascii="Marianne" w:hAnsi="Marianne"/>
        </w:rPr>
        <w:t xml:space="preserve">les </w:t>
      </w:r>
      <w:r w:rsidR="00F82659" w:rsidRPr="00FD1932">
        <w:rPr>
          <w:rFonts w:ascii="Marianne" w:hAnsi="Marianne"/>
        </w:rPr>
        <w:t xml:space="preserve">compensations </w:t>
      </w:r>
      <w:r w:rsidR="007C54B5" w:rsidRPr="00FD1932">
        <w:rPr>
          <w:rFonts w:ascii="Marianne" w:hAnsi="Marianne"/>
        </w:rPr>
        <w:t>octroyées</w:t>
      </w:r>
      <w:r w:rsidRPr="00FD1932">
        <w:rPr>
          <w:rFonts w:ascii="Marianne" w:hAnsi="Marianne"/>
        </w:rPr>
        <w:t xml:space="preserve"> aux aéroports et aux ports dont le trafic annuel moyen n’a pas dépassé 200</w:t>
      </w:r>
      <w:r w:rsidRPr="00FD1932">
        <w:rPr>
          <w:rFonts w:cs="Calibri"/>
        </w:rPr>
        <w:t> </w:t>
      </w:r>
      <w:r w:rsidRPr="00FD1932">
        <w:rPr>
          <w:rFonts w:ascii="Marianne" w:hAnsi="Marianne"/>
        </w:rPr>
        <w:t>000 passagers pour les a</w:t>
      </w:r>
      <w:r w:rsidRPr="00FD1932">
        <w:rPr>
          <w:rFonts w:ascii="Marianne" w:hAnsi="Marianne" w:cs="Marianne"/>
        </w:rPr>
        <w:t>é</w:t>
      </w:r>
      <w:r w:rsidRPr="00FD1932">
        <w:rPr>
          <w:rFonts w:ascii="Marianne" w:hAnsi="Marianne"/>
        </w:rPr>
        <w:t>roports et 300</w:t>
      </w:r>
      <w:r w:rsidRPr="00FD1932">
        <w:rPr>
          <w:rFonts w:cs="Calibri"/>
        </w:rPr>
        <w:t> </w:t>
      </w:r>
      <w:r w:rsidRPr="00FD1932">
        <w:rPr>
          <w:rFonts w:ascii="Marianne" w:hAnsi="Marianne"/>
        </w:rPr>
        <w:t>000 passagers pour les ports, au cours des deux exercices pr</w:t>
      </w:r>
      <w:r w:rsidRPr="00FD1932">
        <w:rPr>
          <w:rFonts w:ascii="Marianne" w:hAnsi="Marianne" w:cs="Marianne"/>
        </w:rPr>
        <w:t>é</w:t>
      </w:r>
      <w:r w:rsidRPr="00FD1932">
        <w:rPr>
          <w:rFonts w:ascii="Marianne" w:hAnsi="Marianne"/>
        </w:rPr>
        <w:t>c</w:t>
      </w:r>
      <w:r w:rsidRPr="00FD1932">
        <w:rPr>
          <w:rFonts w:ascii="Marianne" w:hAnsi="Marianne" w:cs="Marianne"/>
        </w:rPr>
        <w:t>é</w:t>
      </w:r>
      <w:r w:rsidRPr="00FD1932">
        <w:rPr>
          <w:rFonts w:ascii="Marianne" w:hAnsi="Marianne"/>
        </w:rPr>
        <w:t>dant celui de l</w:t>
      </w:r>
      <w:r w:rsidRPr="00FD1932">
        <w:rPr>
          <w:rFonts w:ascii="Marianne" w:hAnsi="Marianne" w:cs="Marianne"/>
        </w:rPr>
        <w:t>’</w:t>
      </w:r>
      <w:r w:rsidRPr="00FD1932">
        <w:rPr>
          <w:rFonts w:ascii="Marianne" w:hAnsi="Marianne"/>
        </w:rPr>
        <w:t>octroi du SIEG.</w:t>
      </w:r>
    </w:p>
    <w:p w14:paraId="7F252FAF" w14:textId="77777777" w:rsidR="00393885" w:rsidRPr="00FD1932" w:rsidRDefault="00393885" w:rsidP="00393885">
      <w:pPr>
        <w:pStyle w:val="Paragraphedeliste"/>
        <w:numPr>
          <w:ilvl w:val="0"/>
          <w:numId w:val="10"/>
        </w:numPr>
        <w:jc w:val="both"/>
        <w:rPr>
          <w:rFonts w:ascii="Marianne" w:hAnsi="Marianne"/>
        </w:rPr>
      </w:pPr>
      <w:r w:rsidRPr="00FD1932">
        <w:rPr>
          <w:rFonts w:ascii="Marianne" w:hAnsi="Marianne"/>
        </w:rPr>
        <w:t xml:space="preserve">Ces aides sont considérées comme compatibles </w:t>
      </w:r>
      <w:r w:rsidRPr="00FD1932">
        <w:rPr>
          <w:rFonts w:ascii="Marianne" w:hAnsi="Marianne"/>
          <w:i/>
        </w:rPr>
        <w:t>a priori</w:t>
      </w:r>
      <w:r w:rsidRPr="00FD1932">
        <w:rPr>
          <w:rFonts w:ascii="Marianne" w:hAnsi="Marianne"/>
        </w:rPr>
        <w:t xml:space="preserve"> et ne nécessitent donc pas de notification individuelle préalable. </w:t>
      </w:r>
    </w:p>
    <w:p w14:paraId="50A349DB" w14:textId="77777777" w:rsidR="00C21FF2" w:rsidRPr="00FD1932" w:rsidRDefault="00C21FF2" w:rsidP="00C21FF2">
      <w:pPr>
        <w:jc w:val="both"/>
        <w:rPr>
          <w:rFonts w:ascii="Marianne" w:hAnsi="Marianne"/>
        </w:rPr>
      </w:pPr>
      <w:r w:rsidRPr="00FD1932">
        <w:rPr>
          <w:rFonts w:ascii="Marianne" w:hAnsi="Marianne"/>
        </w:rPr>
        <w:t>Pour bénéficier de l’exemption de notification, ces aides doivent par ailleurs avoir été accordées dans le cadre d’un mandat dont la durée n’excède pas dix ans. Une exception est toutefois prévue pour les cas où le prestataire du service doi</w:t>
      </w:r>
      <w:r w:rsidR="00416439" w:rsidRPr="00FD1932">
        <w:rPr>
          <w:rFonts w:ascii="Marianne" w:hAnsi="Marianne"/>
        </w:rPr>
        <w:t xml:space="preserve">t </w:t>
      </w:r>
      <w:r w:rsidRPr="00FD1932">
        <w:rPr>
          <w:rFonts w:ascii="Marianne" w:hAnsi="Marianne"/>
        </w:rPr>
        <w:t xml:space="preserve">consentir un investissement important </w:t>
      </w:r>
      <w:r w:rsidR="00416439" w:rsidRPr="00FD1932">
        <w:rPr>
          <w:rFonts w:ascii="Marianne" w:hAnsi="Marianne"/>
        </w:rPr>
        <w:t>à amortir</w:t>
      </w:r>
      <w:r w:rsidRPr="00FD1932">
        <w:rPr>
          <w:rFonts w:ascii="Marianne" w:hAnsi="Marianne"/>
        </w:rPr>
        <w:t xml:space="preserve"> sur une plus longue période, conformément aux principes comptables généralement admis.</w:t>
      </w:r>
    </w:p>
    <w:p w14:paraId="23552503" w14:textId="77777777" w:rsidR="00C21FF2" w:rsidRPr="00FD1932" w:rsidRDefault="00C21FF2" w:rsidP="00C21FF2">
      <w:pPr>
        <w:jc w:val="both"/>
        <w:rPr>
          <w:rFonts w:ascii="Marianne" w:hAnsi="Marianne"/>
        </w:rPr>
      </w:pPr>
      <w:r w:rsidRPr="00FD1932">
        <w:rPr>
          <w:rFonts w:ascii="Marianne" w:hAnsi="Marianne"/>
        </w:rPr>
        <w:t xml:space="preserve">Enfin, les compensations de service public accordées à des entreprises dans le domaine du transport terrestre n’entrent pas dans le champ d’application de la Décision. Elles relèvent en effet de l’article 93 </w:t>
      </w:r>
      <w:r w:rsidR="00416439" w:rsidRPr="00FD1932">
        <w:rPr>
          <w:rFonts w:ascii="Marianne" w:hAnsi="Marianne"/>
        </w:rPr>
        <w:t xml:space="preserve">du </w:t>
      </w:r>
      <w:r w:rsidRPr="00FD1932">
        <w:rPr>
          <w:rFonts w:ascii="Marianne" w:hAnsi="Marianne"/>
        </w:rPr>
        <w:t>TFUE</w:t>
      </w:r>
      <w:r w:rsidRPr="00FD1932">
        <w:rPr>
          <w:rStyle w:val="Appelnotedebasdep"/>
          <w:rFonts w:ascii="Marianne" w:hAnsi="Marianne"/>
        </w:rPr>
        <w:footnoteReference w:id="8"/>
      </w:r>
      <w:r w:rsidRPr="00FD1932">
        <w:rPr>
          <w:rFonts w:ascii="Marianne" w:hAnsi="Marianne"/>
        </w:rPr>
        <w:t xml:space="preserve">. Les compensations accordées </w:t>
      </w:r>
      <w:r w:rsidRPr="00FD1932">
        <w:rPr>
          <w:rFonts w:ascii="Marianne" w:hAnsi="Marianne"/>
        </w:rPr>
        <w:lastRenderedPageBreak/>
        <w:t xml:space="preserve">dans le secteur du transport terrestre sont exemptées de notification lorsqu’elles remplissent les conditions fixées par </w:t>
      </w:r>
      <w:r w:rsidR="00416439" w:rsidRPr="00FD1932">
        <w:rPr>
          <w:rFonts w:ascii="Marianne" w:hAnsi="Marianne"/>
        </w:rPr>
        <w:t>l</w:t>
      </w:r>
      <w:r w:rsidRPr="00FD1932">
        <w:rPr>
          <w:rFonts w:ascii="Marianne" w:hAnsi="Marianne"/>
        </w:rPr>
        <w:t>e règlement</w:t>
      </w:r>
      <w:r w:rsidR="00416439" w:rsidRPr="00FD1932">
        <w:rPr>
          <w:rFonts w:ascii="Marianne" w:hAnsi="Marianne"/>
        </w:rPr>
        <w:t xml:space="preserve"> relatif aux services publics de transport de voyageurs par chemin de fer et par route</w:t>
      </w:r>
      <w:r w:rsidR="00416439" w:rsidRPr="00FD1932">
        <w:rPr>
          <w:rStyle w:val="Appelnotedebasdep"/>
          <w:rFonts w:ascii="Marianne" w:hAnsi="Marianne"/>
        </w:rPr>
        <w:footnoteReference w:id="9"/>
      </w:r>
      <w:r w:rsidRPr="00FD1932">
        <w:rPr>
          <w:rFonts w:ascii="Marianne" w:hAnsi="Marianne"/>
        </w:rPr>
        <w:t>.</w:t>
      </w:r>
    </w:p>
    <w:p w14:paraId="14799E63" w14:textId="4D8F1750" w:rsidR="00655444" w:rsidRPr="00FD1932" w:rsidRDefault="00655444" w:rsidP="00C21FF2">
      <w:pPr>
        <w:jc w:val="both"/>
        <w:rPr>
          <w:rFonts w:ascii="Marianne" w:hAnsi="Marianne"/>
        </w:rPr>
      </w:pPr>
      <w:r w:rsidRPr="00FD1932">
        <w:rPr>
          <w:rFonts w:ascii="Marianne" w:hAnsi="Marianne"/>
        </w:rPr>
        <w:t xml:space="preserve">La </w:t>
      </w:r>
      <w:r w:rsidR="00416439" w:rsidRPr="00FD1932">
        <w:rPr>
          <w:rFonts w:ascii="Marianne" w:hAnsi="Marianne"/>
        </w:rPr>
        <w:t>D</w:t>
      </w:r>
      <w:r w:rsidRPr="00FD1932">
        <w:rPr>
          <w:rFonts w:ascii="Marianne" w:hAnsi="Marianne"/>
        </w:rPr>
        <w:t>écision précise dans son article 5</w:t>
      </w:r>
      <w:r w:rsidR="00393885" w:rsidRPr="00FD1932">
        <w:rPr>
          <w:rFonts w:ascii="Marianne" w:hAnsi="Marianne"/>
        </w:rPr>
        <w:t xml:space="preserve"> que le montant de la compensation ne doit excéder «</w:t>
      </w:r>
      <w:r w:rsidR="00393885" w:rsidRPr="00FD1932">
        <w:rPr>
          <w:rFonts w:cs="Calibri"/>
        </w:rPr>
        <w:t> </w:t>
      </w:r>
      <w:r w:rsidR="00393885" w:rsidRPr="00FD1932">
        <w:rPr>
          <w:rFonts w:ascii="Marianne" w:hAnsi="Marianne"/>
          <w:i/>
        </w:rPr>
        <w:t>ce qui est nécessaire pour couvrir les coûts nets occasionnés par l’exécution des obligations de service public, y compris un bénéfice raisonnable</w:t>
      </w:r>
      <w:r w:rsidR="00393885" w:rsidRPr="00FD1932">
        <w:rPr>
          <w:rFonts w:ascii="Marianne" w:hAnsi="Marianne"/>
        </w:rPr>
        <w:t xml:space="preserve">. Son paragraphe </w:t>
      </w:r>
      <w:r w:rsidRPr="00FD1932">
        <w:rPr>
          <w:rFonts w:ascii="Marianne" w:hAnsi="Marianne"/>
        </w:rPr>
        <w:t>2</w:t>
      </w:r>
      <w:r w:rsidR="00393885" w:rsidRPr="00FD1932">
        <w:rPr>
          <w:rFonts w:ascii="Marianne" w:hAnsi="Marianne"/>
        </w:rPr>
        <w:t xml:space="preserve"> précise</w:t>
      </w:r>
      <w:r w:rsidRPr="00FD1932">
        <w:rPr>
          <w:rFonts w:ascii="Marianne" w:hAnsi="Marianne"/>
        </w:rPr>
        <w:t xml:space="preserve"> que deux méthodes peuvent être utilisées pour calculer le coût net des obligations de service public</w:t>
      </w:r>
      <w:r w:rsidRPr="00FD1932">
        <w:rPr>
          <w:rFonts w:cs="Calibri"/>
        </w:rPr>
        <w:t> </w:t>
      </w:r>
      <w:r w:rsidRPr="00FD1932">
        <w:rPr>
          <w:rFonts w:ascii="Marianne" w:hAnsi="Marianne"/>
        </w:rPr>
        <w:t xml:space="preserve">: </w:t>
      </w:r>
    </w:p>
    <w:p w14:paraId="18BDFB95" w14:textId="77777777" w:rsidR="00655444" w:rsidRPr="00FD1932" w:rsidRDefault="00D40BC4" w:rsidP="00416439">
      <w:pPr>
        <w:numPr>
          <w:ilvl w:val="0"/>
          <w:numId w:val="4"/>
        </w:numPr>
        <w:ind w:left="714" w:hanging="357"/>
        <w:contextualSpacing/>
        <w:jc w:val="both"/>
        <w:rPr>
          <w:rFonts w:ascii="Marianne" w:hAnsi="Marianne"/>
        </w:rPr>
      </w:pPr>
      <w:r w:rsidRPr="00FD1932">
        <w:rPr>
          <w:rFonts w:ascii="Marianne" w:hAnsi="Marianne"/>
        </w:rPr>
        <w:t xml:space="preserve">la méthode fondée sur la répartition des coûts, consistant à calculer </w:t>
      </w:r>
      <w:r w:rsidR="00655444" w:rsidRPr="00FD1932">
        <w:rPr>
          <w:rFonts w:ascii="Marianne" w:hAnsi="Marianne"/>
        </w:rPr>
        <w:t>la différence entre les coûts et l</w:t>
      </w:r>
      <w:r w:rsidRPr="00FD1932">
        <w:rPr>
          <w:rFonts w:ascii="Marianne" w:hAnsi="Marianne"/>
        </w:rPr>
        <w:t xml:space="preserve">es recettes afférents au SIEG </w:t>
      </w:r>
      <w:r w:rsidR="00655444" w:rsidRPr="00FD1932">
        <w:rPr>
          <w:rFonts w:ascii="Marianne" w:hAnsi="Marianne"/>
        </w:rPr>
        <w:t>;</w:t>
      </w:r>
    </w:p>
    <w:p w14:paraId="4B693EC5" w14:textId="77777777" w:rsidR="00655444" w:rsidRPr="00FD1932" w:rsidRDefault="00D40BC4" w:rsidP="00416439">
      <w:pPr>
        <w:numPr>
          <w:ilvl w:val="0"/>
          <w:numId w:val="4"/>
        </w:numPr>
        <w:ind w:left="714" w:hanging="357"/>
        <w:contextualSpacing/>
        <w:jc w:val="both"/>
        <w:rPr>
          <w:rFonts w:ascii="Marianne" w:hAnsi="Marianne"/>
        </w:rPr>
      </w:pPr>
      <w:r w:rsidRPr="00FD1932">
        <w:rPr>
          <w:rFonts w:ascii="Marianne" w:hAnsi="Marianne"/>
        </w:rPr>
        <w:t xml:space="preserve">la méthode du coût net évité, consistant à calculer </w:t>
      </w:r>
      <w:r w:rsidR="00655444" w:rsidRPr="00FD1932">
        <w:rPr>
          <w:rFonts w:ascii="Marianne" w:hAnsi="Marianne"/>
        </w:rPr>
        <w:t>la différence entre le coût net pour l’entreprise assurant l’obligation de service public et le coût net ou bénéfice de la même entreprise n’assurant pas l’obligation de service public.</w:t>
      </w:r>
    </w:p>
    <w:p w14:paraId="1F99FBE3" w14:textId="77777777" w:rsidR="00416439" w:rsidRPr="00FD1932" w:rsidRDefault="00416439" w:rsidP="00416439">
      <w:pPr>
        <w:ind w:left="714"/>
        <w:contextualSpacing/>
        <w:jc w:val="both"/>
        <w:rPr>
          <w:rFonts w:ascii="Marianne" w:hAnsi="Marianne"/>
        </w:rPr>
      </w:pPr>
    </w:p>
    <w:p w14:paraId="2F238ABB" w14:textId="2C06D74A" w:rsidR="00416439" w:rsidRPr="00FD1932" w:rsidRDefault="00655444" w:rsidP="00C21FF2">
      <w:pPr>
        <w:jc w:val="both"/>
        <w:rPr>
          <w:rFonts w:ascii="Marianne" w:hAnsi="Marianne"/>
        </w:rPr>
      </w:pPr>
      <w:r w:rsidRPr="00FD1932">
        <w:rPr>
          <w:rFonts w:ascii="Marianne" w:hAnsi="Marianne"/>
        </w:rPr>
        <w:t>Cependant contrairement à l’</w:t>
      </w:r>
      <w:r w:rsidR="00416439" w:rsidRPr="00FD1932">
        <w:rPr>
          <w:rFonts w:ascii="Marianne" w:hAnsi="Marianne"/>
        </w:rPr>
        <w:t>E</w:t>
      </w:r>
      <w:r w:rsidRPr="00FD1932">
        <w:rPr>
          <w:rFonts w:ascii="Marianne" w:hAnsi="Marianne"/>
        </w:rPr>
        <w:t>ncad</w:t>
      </w:r>
      <w:r w:rsidR="00B94EE0" w:rsidRPr="00FD1932">
        <w:rPr>
          <w:rFonts w:ascii="Marianne" w:hAnsi="Marianne"/>
        </w:rPr>
        <w:t xml:space="preserve">rement, la </w:t>
      </w:r>
      <w:r w:rsidR="00416439" w:rsidRPr="00FD1932">
        <w:rPr>
          <w:rFonts w:ascii="Marianne" w:hAnsi="Marianne"/>
        </w:rPr>
        <w:t>D</w:t>
      </w:r>
      <w:r w:rsidR="00B94EE0" w:rsidRPr="00FD1932">
        <w:rPr>
          <w:rFonts w:ascii="Marianne" w:hAnsi="Marianne"/>
        </w:rPr>
        <w:t>écision n’impose pas</w:t>
      </w:r>
      <w:r w:rsidRPr="00FD1932">
        <w:rPr>
          <w:rFonts w:ascii="Marianne" w:hAnsi="Marianne"/>
        </w:rPr>
        <w:t xml:space="preserve"> de méthode spécifique</w:t>
      </w:r>
      <w:r w:rsidRPr="00FD1932">
        <w:rPr>
          <w:rFonts w:cs="Calibri"/>
        </w:rPr>
        <w:t> </w:t>
      </w:r>
      <w:r w:rsidRPr="00FD1932">
        <w:rPr>
          <w:rFonts w:ascii="Marianne" w:hAnsi="Marianne"/>
        </w:rPr>
        <w:t>: les Etats membre</w:t>
      </w:r>
      <w:r w:rsidR="00977306" w:rsidRPr="00FD1932">
        <w:rPr>
          <w:rFonts w:ascii="Marianne" w:hAnsi="Marianne"/>
        </w:rPr>
        <w:t>s</w:t>
      </w:r>
      <w:r w:rsidR="00416439" w:rsidRPr="00FD1932">
        <w:rPr>
          <w:rFonts w:ascii="Marianne" w:hAnsi="Marianne"/>
        </w:rPr>
        <w:t xml:space="preserve"> </w:t>
      </w:r>
      <w:r w:rsidR="00393885" w:rsidRPr="00FD1932">
        <w:rPr>
          <w:rFonts w:ascii="Marianne" w:hAnsi="Marianne"/>
        </w:rPr>
        <w:t xml:space="preserve">sont libres de choisir la méthode </w:t>
      </w:r>
      <w:r w:rsidR="009655B5" w:rsidRPr="00FD1932">
        <w:rPr>
          <w:rFonts w:ascii="Marianne" w:hAnsi="Marianne"/>
        </w:rPr>
        <w:t xml:space="preserve">la plus </w:t>
      </w:r>
      <w:r w:rsidRPr="00FD1932">
        <w:rPr>
          <w:rFonts w:ascii="Marianne" w:hAnsi="Marianne"/>
        </w:rPr>
        <w:t>appropriée pour chaque cas spécifique.</w:t>
      </w:r>
    </w:p>
    <w:p w14:paraId="018DF38A" w14:textId="77777777" w:rsidR="00C21FF2" w:rsidRPr="00FD1932" w:rsidRDefault="00C21FF2" w:rsidP="00416439">
      <w:pPr>
        <w:pStyle w:val="Paragraphedeliste"/>
        <w:numPr>
          <w:ilvl w:val="0"/>
          <w:numId w:val="6"/>
        </w:numPr>
        <w:jc w:val="both"/>
        <w:rPr>
          <w:rFonts w:ascii="Marianne" w:hAnsi="Marianne"/>
          <w:b/>
          <w:i/>
          <w:u w:val="single"/>
        </w:rPr>
      </w:pPr>
      <w:r w:rsidRPr="00FD1932">
        <w:rPr>
          <w:rFonts w:ascii="Marianne" w:hAnsi="Marianne"/>
          <w:b/>
          <w:i/>
          <w:u w:val="single"/>
        </w:rPr>
        <w:t>Les compensations devant être notifiées à la Commission européenne</w:t>
      </w:r>
      <w:r w:rsidR="00393885" w:rsidRPr="00FD1932">
        <w:rPr>
          <w:rFonts w:ascii="Marianne" w:hAnsi="Marianne"/>
          <w:b/>
          <w:i/>
          <w:u w:val="single"/>
        </w:rPr>
        <w:t xml:space="preserve"> conformément à l’Encadrement SIEG</w:t>
      </w:r>
    </w:p>
    <w:p w14:paraId="3DC4B32D" w14:textId="3F90B7EE" w:rsidR="00C21FF2" w:rsidRPr="00FD1932" w:rsidRDefault="00C21FF2" w:rsidP="00C21FF2">
      <w:pPr>
        <w:jc w:val="both"/>
        <w:rPr>
          <w:rFonts w:ascii="Marianne" w:hAnsi="Marianne"/>
          <w:color w:val="FF0000"/>
        </w:rPr>
      </w:pPr>
      <w:r w:rsidRPr="00FD1932">
        <w:rPr>
          <w:rFonts w:ascii="Marianne" w:hAnsi="Marianne"/>
        </w:rPr>
        <w:t xml:space="preserve">En dehors des cas de figure exposés ci-avant (compensations relevant de la jurisprudence </w:t>
      </w:r>
      <w:r w:rsidRPr="00FD1932">
        <w:rPr>
          <w:rFonts w:ascii="Marianne" w:hAnsi="Marianne"/>
          <w:i/>
        </w:rPr>
        <w:t>Altmark</w:t>
      </w:r>
      <w:r w:rsidR="00416439" w:rsidRPr="00FD1932">
        <w:rPr>
          <w:rFonts w:ascii="Marianne" w:hAnsi="Marianne"/>
        </w:rPr>
        <w:t xml:space="preserve">, </w:t>
      </w:r>
      <w:r w:rsidRPr="00FD1932">
        <w:rPr>
          <w:rFonts w:ascii="Marianne" w:hAnsi="Marianne"/>
        </w:rPr>
        <w:t xml:space="preserve">d’un règlement </w:t>
      </w:r>
      <w:r w:rsidRPr="00FD1932">
        <w:rPr>
          <w:rFonts w:ascii="Marianne" w:hAnsi="Marianne"/>
          <w:i/>
        </w:rPr>
        <w:t>de minimis</w:t>
      </w:r>
      <w:r w:rsidRPr="00FD1932">
        <w:rPr>
          <w:rFonts w:ascii="Marianne" w:hAnsi="Marianne"/>
        </w:rPr>
        <w:t xml:space="preserve"> ou de la </w:t>
      </w:r>
      <w:r w:rsidR="00393885" w:rsidRPr="00FD1932">
        <w:rPr>
          <w:rFonts w:ascii="Marianne" w:hAnsi="Marianne"/>
        </w:rPr>
        <w:t>D</w:t>
      </w:r>
      <w:r w:rsidRPr="00FD1932">
        <w:rPr>
          <w:rFonts w:ascii="Marianne" w:hAnsi="Marianne"/>
        </w:rPr>
        <w:t xml:space="preserve">écision d’exemption), la compensation doit </w:t>
      </w:r>
      <w:r w:rsidR="00393885" w:rsidRPr="00FD1932">
        <w:rPr>
          <w:rFonts w:ascii="Marianne" w:hAnsi="Marianne"/>
        </w:rPr>
        <w:t xml:space="preserve">faire l’objet d’une </w:t>
      </w:r>
      <w:r w:rsidRPr="00FD1932">
        <w:rPr>
          <w:rFonts w:ascii="Marianne" w:hAnsi="Marianne"/>
        </w:rPr>
        <w:t>notifi</w:t>
      </w:r>
      <w:r w:rsidR="00393885" w:rsidRPr="00FD1932">
        <w:rPr>
          <w:rFonts w:ascii="Marianne" w:hAnsi="Marianne"/>
        </w:rPr>
        <w:t>cation</w:t>
      </w:r>
      <w:r w:rsidRPr="00FD1932">
        <w:rPr>
          <w:rFonts w:ascii="Marianne" w:hAnsi="Marianne"/>
        </w:rPr>
        <w:t xml:space="preserve"> à la Commission qui vérifiera sa compatibilité au regard des dispositions de l’</w:t>
      </w:r>
      <w:r w:rsidR="00416439" w:rsidRPr="00FD1932">
        <w:rPr>
          <w:rFonts w:ascii="Marianne" w:hAnsi="Marianne"/>
        </w:rPr>
        <w:t>E</w:t>
      </w:r>
      <w:r w:rsidRPr="00FD1932">
        <w:rPr>
          <w:rFonts w:ascii="Marianne" w:hAnsi="Marianne"/>
        </w:rPr>
        <w:t>ncadrement du 20 décembre 2011</w:t>
      </w:r>
      <w:r w:rsidRPr="00FD1932">
        <w:rPr>
          <w:rStyle w:val="Appelnotedebasdep"/>
          <w:rFonts w:ascii="Marianne" w:hAnsi="Marianne"/>
        </w:rPr>
        <w:footnoteReference w:id="10"/>
      </w:r>
      <w:r w:rsidRPr="00FD1932">
        <w:rPr>
          <w:rFonts w:ascii="Marianne" w:hAnsi="Marianne"/>
        </w:rPr>
        <w:t xml:space="preserve">. A cet égard, le nouveau cadre </w:t>
      </w:r>
      <w:r w:rsidR="00416439" w:rsidRPr="00FD1932">
        <w:rPr>
          <w:rFonts w:ascii="Marianne" w:hAnsi="Marianne"/>
        </w:rPr>
        <w:t>«</w:t>
      </w:r>
      <w:r w:rsidR="00416439" w:rsidRPr="00FD1932">
        <w:rPr>
          <w:rFonts w:cs="Calibri"/>
        </w:rPr>
        <w:t> </w:t>
      </w:r>
      <w:r w:rsidRPr="00FD1932">
        <w:rPr>
          <w:rFonts w:ascii="Marianne" w:hAnsi="Marianne"/>
        </w:rPr>
        <w:t>Almunia</w:t>
      </w:r>
      <w:r w:rsidR="00416439" w:rsidRPr="00FD1932">
        <w:rPr>
          <w:rFonts w:cs="Calibri"/>
          <w:i/>
        </w:rPr>
        <w:t> </w:t>
      </w:r>
      <w:r w:rsidR="00416439" w:rsidRPr="00FD1932">
        <w:rPr>
          <w:rFonts w:ascii="Marianne" w:hAnsi="Marianne" w:cs="Marianne"/>
          <w:i/>
        </w:rPr>
        <w:t>»</w:t>
      </w:r>
      <w:r w:rsidRPr="00FD1932">
        <w:rPr>
          <w:rFonts w:ascii="Marianne" w:hAnsi="Marianne"/>
        </w:rPr>
        <w:t xml:space="preserve"> a durci les critères de compatibilité pour les compensations devant faire l’objet d’une notification préalable à la Commission.</w:t>
      </w:r>
      <w:r w:rsidRPr="00FD1932">
        <w:rPr>
          <w:rFonts w:ascii="Marianne" w:hAnsi="Marianne"/>
          <w:color w:val="FF0000"/>
        </w:rPr>
        <w:t xml:space="preserve"> </w:t>
      </w:r>
    </w:p>
    <w:p w14:paraId="3E1A881C" w14:textId="77777777" w:rsidR="00C21FF2" w:rsidRPr="00FD1932" w:rsidRDefault="00C21FF2" w:rsidP="00C21FF2">
      <w:pPr>
        <w:jc w:val="both"/>
        <w:rPr>
          <w:rFonts w:ascii="Marianne" w:hAnsi="Marianne"/>
        </w:rPr>
      </w:pPr>
      <w:r w:rsidRPr="00FD1932">
        <w:rPr>
          <w:rFonts w:ascii="Marianne" w:hAnsi="Marianne"/>
        </w:rPr>
        <w:t>En plus des conditions de compatibilité rappelées ci-avant, la collectivité organisatrice du SIEG</w:t>
      </w:r>
      <w:r w:rsidRPr="00FD1932">
        <w:rPr>
          <w:rFonts w:ascii="Marianne" w:hAnsi="Marianne"/>
          <w:color w:val="FF0000"/>
        </w:rPr>
        <w:t xml:space="preserve"> </w:t>
      </w:r>
      <w:r w:rsidRPr="00FD1932">
        <w:rPr>
          <w:rFonts w:ascii="Marianne" w:hAnsi="Marianne"/>
        </w:rPr>
        <w:t xml:space="preserve">doit se conformer </w:t>
      </w:r>
      <w:r w:rsidR="00971901" w:rsidRPr="00FD1932">
        <w:rPr>
          <w:rFonts w:ascii="Marianne" w:hAnsi="Marianne"/>
        </w:rPr>
        <w:t>à l’ensemble des</w:t>
      </w:r>
      <w:r w:rsidRPr="00FD1932">
        <w:rPr>
          <w:rFonts w:ascii="Marianne" w:hAnsi="Marianne"/>
        </w:rPr>
        <w:t xml:space="preserve"> exigences suivantes</w:t>
      </w:r>
      <w:r w:rsidRPr="00FD1932">
        <w:rPr>
          <w:rFonts w:cs="Calibri"/>
        </w:rPr>
        <w:t> </w:t>
      </w:r>
      <w:r w:rsidRPr="00FD1932">
        <w:rPr>
          <w:rFonts w:ascii="Marianne" w:hAnsi="Marianne"/>
        </w:rPr>
        <w:t xml:space="preserve">: </w:t>
      </w:r>
    </w:p>
    <w:p w14:paraId="1AE47969" w14:textId="77777777" w:rsidR="00C21FF2" w:rsidRPr="00FD1932" w:rsidRDefault="00C21FF2"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apporter la preuve qu’elle a pris en considération les besoins en matière de service public</w:t>
      </w:r>
      <w:r w:rsidRPr="00FD1932" w:rsidDel="00FC3AD9">
        <w:rPr>
          <w:rFonts w:ascii="Marianne" w:hAnsi="Marianne" w:cs="Times New Roman"/>
          <w:sz w:val="22"/>
          <w:szCs w:val="22"/>
        </w:rPr>
        <w:t xml:space="preserve"> </w:t>
      </w:r>
      <w:r w:rsidRPr="00FD1932">
        <w:rPr>
          <w:rFonts w:ascii="Marianne" w:hAnsi="Marianne" w:cs="Times New Roman"/>
          <w:sz w:val="22"/>
          <w:szCs w:val="22"/>
        </w:rPr>
        <w:t>au moyen d’une consultation publique ou de toute autre procédure appropriée permettant de tenir compte des intérêts des utilisateurs et des prestataires de services</w:t>
      </w:r>
      <w:r w:rsidRPr="00FD1932">
        <w:rPr>
          <w:rFonts w:ascii="Calibri" w:hAnsi="Calibri" w:cs="Calibri"/>
          <w:sz w:val="22"/>
          <w:szCs w:val="22"/>
        </w:rPr>
        <w:t> </w:t>
      </w:r>
      <w:r w:rsidRPr="00FD1932">
        <w:rPr>
          <w:rFonts w:ascii="Marianne" w:hAnsi="Marianne" w:cs="Times New Roman"/>
          <w:sz w:val="22"/>
          <w:szCs w:val="22"/>
        </w:rPr>
        <w:t>;</w:t>
      </w:r>
    </w:p>
    <w:p w14:paraId="4A125F73" w14:textId="77777777" w:rsidR="00C21FF2" w:rsidRPr="00FD1932" w:rsidRDefault="00C21FF2"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justifier de façon objective la durée du mandat qui, en principe, ne doit pas excéder la période nécessaire à l'amortissement comptable des principaux actifs indispensables à la prestation du SIEG</w:t>
      </w:r>
      <w:r w:rsidRPr="00FD1932">
        <w:rPr>
          <w:rFonts w:ascii="Calibri" w:hAnsi="Calibri" w:cs="Calibri"/>
          <w:sz w:val="22"/>
          <w:szCs w:val="22"/>
        </w:rPr>
        <w:t> </w:t>
      </w:r>
      <w:r w:rsidRPr="00FD1932">
        <w:rPr>
          <w:rFonts w:ascii="Marianne" w:hAnsi="Marianne" w:cs="Times New Roman"/>
          <w:sz w:val="22"/>
          <w:szCs w:val="22"/>
        </w:rPr>
        <w:t>;</w:t>
      </w:r>
    </w:p>
    <w:p w14:paraId="3DE4A25C" w14:textId="77777777" w:rsidR="00E102D3" w:rsidRPr="00FD1932" w:rsidRDefault="00CB3BB5"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lastRenderedPageBreak/>
        <w:t>respect</w:t>
      </w:r>
      <w:r w:rsidR="00CB16AB" w:rsidRPr="00FD1932">
        <w:rPr>
          <w:rFonts w:ascii="Marianne" w:hAnsi="Marianne" w:cs="Times New Roman"/>
          <w:sz w:val="22"/>
          <w:szCs w:val="22"/>
        </w:rPr>
        <w:t>er</w:t>
      </w:r>
      <w:r w:rsidRPr="00FD1932">
        <w:rPr>
          <w:rFonts w:ascii="Marianne" w:hAnsi="Marianne" w:cs="Times New Roman"/>
          <w:sz w:val="22"/>
          <w:szCs w:val="22"/>
        </w:rPr>
        <w:t xml:space="preserve"> de la directive </w:t>
      </w:r>
      <w:r w:rsidR="003C5A1C" w:rsidRPr="00FD1932">
        <w:rPr>
          <w:rFonts w:ascii="Marianne" w:hAnsi="Marianne" w:cs="Times New Roman"/>
          <w:sz w:val="22"/>
          <w:szCs w:val="22"/>
        </w:rPr>
        <w:t xml:space="preserve">n° </w:t>
      </w:r>
      <w:r w:rsidRPr="00FD1932">
        <w:rPr>
          <w:rFonts w:ascii="Marianne" w:hAnsi="Marianne" w:cs="Times New Roman"/>
          <w:sz w:val="22"/>
          <w:szCs w:val="22"/>
        </w:rPr>
        <w:t xml:space="preserve">2006/111/CE </w:t>
      </w:r>
      <w:r w:rsidR="003C5A1C" w:rsidRPr="00FD1932">
        <w:rPr>
          <w:rFonts w:ascii="Marianne" w:hAnsi="Marianne" w:cs="Times New Roman"/>
          <w:sz w:val="22"/>
          <w:szCs w:val="22"/>
        </w:rPr>
        <w:t xml:space="preserve">de la Commission du 16 novembre 2006 </w:t>
      </w:r>
      <w:r w:rsidRPr="00FD1932">
        <w:rPr>
          <w:rFonts w:ascii="Marianne" w:hAnsi="Marianne" w:cs="Times New Roman"/>
          <w:sz w:val="22"/>
          <w:szCs w:val="22"/>
        </w:rPr>
        <w:t>relative à la transparence des relations financière entre les Etats membres et les entreprises publiques ainsi qu’à la tran</w:t>
      </w:r>
      <w:r w:rsidR="00CB16AB" w:rsidRPr="00FD1932">
        <w:rPr>
          <w:rFonts w:ascii="Marianne" w:hAnsi="Marianne" w:cs="Times New Roman"/>
          <w:sz w:val="22"/>
          <w:szCs w:val="22"/>
        </w:rPr>
        <w:t>s</w:t>
      </w:r>
      <w:r w:rsidRPr="00FD1932">
        <w:rPr>
          <w:rFonts w:ascii="Marianne" w:hAnsi="Marianne" w:cs="Times New Roman"/>
          <w:sz w:val="22"/>
          <w:szCs w:val="22"/>
        </w:rPr>
        <w:t>parence financière dans certaines entreprises</w:t>
      </w:r>
      <w:r w:rsidRPr="00FD1932">
        <w:rPr>
          <w:rFonts w:ascii="Calibri" w:hAnsi="Calibri" w:cs="Calibri"/>
          <w:sz w:val="22"/>
          <w:szCs w:val="22"/>
        </w:rPr>
        <w:t> </w:t>
      </w:r>
      <w:r w:rsidRPr="00FD1932">
        <w:rPr>
          <w:rFonts w:ascii="Marianne" w:hAnsi="Marianne" w:cs="Times New Roman"/>
          <w:sz w:val="22"/>
          <w:szCs w:val="22"/>
        </w:rPr>
        <w:t>;</w:t>
      </w:r>
    </w:p>
    <w:p w14:paraId="07356643" w14:textId="77777777" w:rsidR="00495AE2" w:rsidRPr="00FD1932" w:rsidRDefault="00495AE2"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respect</w:t>
      </w:r>
      <w:r w:rsidR="00CB16AB" w:rsidRPr="00FD1932">
        <w:rPr>
          <w:rFonts w:ascii="Marianne" w:hAnsi="Marianne" w:cs="Times New Roman"/>
          <w:sz w:val="22"/>
          <w:szCs w:val="22"/>
        </w:rPr>
        <w:t>er</w:t>
      </w:r>
      <w:r w:rsidRPr="00FD1932">
        <w:rPr>
          <w:rFonts w:ascii="Marianne" w:hAnsi="Marianne" w:cs="Times New Roman"/>
          <w:sz w:val="22"/>
          <w:szCs w:val="22"/>
        </w:rPr>
        <w:t xml:space="preserve"> </w:t>
      </w:r>
      <w:r w:rsidR="00CB16AB" w:rsidRPr="00FD1932">
        <w:rPr>
          <w:rFonts w:ascii="Marianne" w:hAnsi="Marianne" w:cs="Times New Roman"/>
          <w:sz w:val="22"/>
          <w:szCs w:val="22"/>
        </w:rPr>
        <w:t>l</w:t>
      </w:r>
      <w:r w:rsidRPr="00FD1932">
        <w:rPr>
          <w:rFonts w:ascii="Marianne" w:hAnsi="Marianne" w:cs="Times New Roman"/>
          <w:sz w:val="22"/>
          <w:szCs w:val="22"/>
        </w:rPr>
        <w:t xml:space="preserve">es règles de l’Union européenne applicables </w:t>
      </w:r>
      <w:r w:rsidR="003C5A1C" w:rsidRPr="00FD1932">
        <w:rPr>
          <w:rFonts w:ascii="Marianne" w:hAnsi="Marianne" w:cs="Times New Roman"/>
          <w:sz w:val="22"/>
          <w:szCs w:val="22"/>
        </w:rPr>
        <w:t>en matière de</w:t>
      </w:r>
      <w:r w:rsidRPr="00FD1932">
        <w:rPr>
          <w:rFonts w:ascii="Marianne" w:hAnsi="Marianne" w:cs="Times New Roman"/>
          <w:sz w:val="22"/>
          <w:szCs w:val="22"/>
        </w:rPr>
        <w:t xml:space="preserve"> marchés publics</w:t>
      </w:r>
      <w:r w:rsidRPr="00FD1932">
        <w:rPr>
          <w:rFonts w:ascii="Calibri" w:hAnsi="Calibri" w:cs="Calibri"/>
          <w:sz w:val="22"/>
          <w:szCs w:val="22"/>
        </w:rPr>
        <w:t> </w:t>
      </w:r>
      <w:r w:rsidRPr="00FD1932">
        <w:rPr>
          <w:rFonts w:ascii="Marianne" w:hAnsi="Marianne" w:cs="Times New Roman"/>
          <w:sz w:val="22"/>
          <w:szCs w:val="22"/>
        </w:rPr>
        <w:t>;</w:t>
      </w:r>
    </w:p>
    <w:p w14:paraId="26A0CCB7" w14:textId="77777777" w:rsidR="00CB16AB" w:rsidRPr="00FD1932" w:rsidRDefault="00CB16AB"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ne pas faire de discrimination</w:t>
      </w:r>
      <w:r w:rsidRPr="00FD1932">
        <w:rPr>
          <w:rFonts w:ascii="Calibri" w:hAnsi="Calibri" w:cs="Calibri"/>
          <w:sz w:val="22"/>
          <w:szCs w:val="22"/>
        </w:rPr>
        <w:t> </w:t>
      </w:r>
      <w:r w:rsidRPr="00FD1932">
        <w:rPr>
          <w:rFonts w:ascii="Marianne" w:hAnsi="Marianne" w:cs="Times New Roman"/>
          <w:sz w:val="22"/>
          <w:szCs w:val="22"/>
        </w:rPr>
        <w:t>: lorsqu'une autorité confie la prestation d'un même SIEG à plusieurs entreprises, la compensation doit être calculée selon la même méthode pour chaque entreprise</w:t>
      </w:r>
      <w:r w:rsidRPr="00FD1932">
        <w:rPr>
          <w:rFonts w:ascii="Calibri" w:hAnsi="Calibri" w:cs="Calibri"/>
          <w:sz w:val="22"/>
          <w:szCs w:val="22"/>
        </w:rPr>
        <w:t> </w:t>
      </w:r>
      <w:r w:rsidRPr="00FD1932">
        <w:rPr>
          <w:rFonts w:ascii="Marianne" w:hAnsi="Marianne" w:cs="Times New Roman"/>
          <w:sz w:val="22"/>
          <w:szCs w:val="22"/>
        </w:rPr>
        <w:t>;</w:t>
      </w:r>
    </w:p>
    <w:p w14:paraId="01DA610D" w14:textId="77777777" w:rsidR="00CB16AB" w:rsidRPr="00FD1932" w:rsidRDefault="00CB16AB"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 xml:space="preserve">justifier le choix d’une méthode de calcul de la compensation différente </w:t>
      </w:r>
      <w:r w:rsidR="00AA2F3F" w:rsidRPr="00FD1932">
        <w:rPr>
          <w:rFonts w:ascii="Marianne" w:hAnsi="Marianne" w:cs="Times New Roman"/>
          <w:sz w:val="22"/>
          <w:szCs w:val="22"/>
        </w:rPr>
        <w:t xml:space="preserve">ou </w:t>
      </w:r>
      <w:r w:rsidRPr="00FD1932">
        <w:rPr>
          <w:rFonts w:ascii="Marianne" w:hAnsi="Marianne" w:cs="Times New Roman"/>
          <w:sz w:val="22"/>
          <w:szCs w:val="22"/>
        </w:rPr>
        <w:t xml:space="preserve">de </w:t>
      </w:r>
      <w:r w:rsidR="00AA2F3F" w:rsidRPr="00FD1932">
        <w:rPr>
          <w:rFonts w:ascii="Marianne" w:hAnsi="Marianne" w:cs="Times New Roman"/>
          <w:sz w:val="22"/>
          <w:szCs w:val="22"/>
        </w:rPr>
        <w:t>l</w:t>
      </w:r>
      <w:r w:rsidRPr="00FD1932">
        <w:rPr>
          <w:rFonts w:ascii="Marianne" w:hAnsi="Marianne" w:cs="Times New Roman"/>
          <w:sz w:val="22"/>
          <w:szCs w:val="22"/>
        </w:rPr>
        <w:t>a méthode du coût net évité</w:t>
      </w:r>
      <w:r w:rsidRPr="00FD1932">
        <w:rPr>
          <w:rFonts w:ascii="Calibri" w:hAnsi="Calibri" w:cs="Calibri"/>
          <w:sz w:val="22"/>
          <w:szCs w:val="22"/>
        </w:rPr>
        <w:t> </w:t>
      </w:r>
      <w:r w:rsidRPr="00FD1932">
        <w:rPr>
          <w:rFonts w:ascii="Marianne" w:hAnsi="Marianne" w:cs="Times New Roman"/>
          <w:sz w:val="22"/>
          <w:szCs w:val="22"/>
        </w:rPr>
        <w:t>;</w:t>
      </w:r>
    </w:p>
    <w:p w14:paraId="31C9D7A9" w14:textId="77777777" w:rsidR="00C21FF2" w:rsidRPr="00FD1932" w:rsidRDefault="00C21FF2"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paramétrer le montant de la compensation en fonction de la réalisation d’objectifs d’efficience par le prestataire de SIEG</w:t>
      </w:r>
      <w:r w:rsidRPr="00FD1932">
        <w:rPr>
          <w:rFonts w:ascii="Calibri" w:hAnsi="Calibri" w:cs="Calibri"/>
          <w:sz w:val="22"/>
          <w:szCs w:val="22"/>
        </w:rPr>
        <w:t> </w:t>
      </w:r>
      <w:r w:rsidRPr="00FD1932">
        <w:rPr>
          <w:rFonts w:ascii="Marianne" w:hAnsi="Marianne" w:cs="Times New Roman"/>
          <w:sz w:val="22"/>
          <w:szCs w:val="22"/>
        </w:rPr>
        <w:t>;</w:t>
      </w:r>
    </w:p>
    <w:p w14:paraId="2763411F" w14:textId="77777777" w:rsidR="00C21FF2" w:rsidRPr="00FD1932" w:rsidRDefault="00C21FF2" w:rsidP="00971901">
      <w:pPr>
        <w:pStyle w:val="Default"/>
        <w:numPr>
          <w:ilvl w:val="0"/>
          <w:numId w:val="1"/>
        </w:numPr>
        <w:spacing w:before="57" w:after="240" w:line="276" w:lineRule="auto"/>
        <w:ind w:left="709" w:hanging="425"/>
        <w:contextualSpacing/>
        <w:jc w:val="both"/>
        <w:rPr>
          <w:rFonts w:ascii="Marianne" w:hAnsi="Marianne" w:cs="Times New Roman"/>
          <w:sz w:val="22"/>
          <w:szCs w:val="22"/>
        </w:rPr>
      </w:pPr>
      <w:r w:rsidRPr="00FD1932">
        <w:rPr>
          <w:rFonts w:ascii="Marianne" w:hAnsi="Marianne" w:cs="Times New Roman"/>
          <w:sz w:val="22"/>
          <w:szCs w:val="22"/>
        </w:rPr>
        <w:t>contrôler régulièrement l’absence de surcompensation</w:t>
      </w:r>
      <w:r w:rsidRPr="00FD1932">
        <w:rPr>
          <w:rFonts w:ascii="Calibri" w:hAnsi="Calibri" w:cs="Calibri"/>
          <w:sz w:val="22"/>
          <w:szCs w:val="22"/>
        </w:rPr>
        <w:t> </w:t>
      </w:r>
      <w:r w:rsidRPr="00FD1932">
        <w:rPr>
          <w:rFonts w:ascii="Marianne" w:hAnsi="Marianne" w:cs="Times New Roman"/>
          <w:sz w:val="22"/>
          <w:szCs w:val="22"/>
        </w:rPr>
        <w:t>: au minimum tous les trois ans et à la fin du mandat</w:t>
      </w:r>
      <w:r w:rsidR="00E102D3" w:rsidRPr="00FD1932">
        <w:rPr>
          <w:rFonts w:ascii="Marianne" w:hAnsi="Marianne" w:cs="Times New Roman"/>
          <w:sz w:val="22"/>
          <w:szCs w:val="22"/>
        </w:rPr>
        <w:t>.</w:t>
      </w:r>
    </w:p>
    <w:p w14:paraId="25C5FAC2" w14:textId="77777777" w:rsidR="0067221B" w:rsidRPr="00FD1932" w:rsidRDefault="0067221B" w:rsidP="0067221B">
      <w:pPr>
        <w:pStyle w:val="Default"/>
        <w:spacing w:before="57" w:after="240" w:line="276" w:lineRule="auto"/>
        <w:ind w:left="709"/>
        <w:contextualSpacing/>
        <w:jc w:val="both"/>
        <w:rPr>
          <w:rFonts w:ascii="Marianne" w:hAnsi="Marianne" w:cs="Times New Roman"/>
          <w:sz w:val="22"/>
          <w:szCs w:val="22"/>
        </w:rPr>
      </w:pPr>
    </w:p>
    <w:p w14:paraId="3731BCAB" w14:textId="2DED0E5D" w:rsidR="00C21FF2" w:rsidRPr="00FD1932" w:rsidRDefault="0067221B" w:rsidP="00C21FF2">
      <w:pPr>
        <w:pStyle w:val="Default"/>
        <w:spacing w:before="57" w:after="240" w:line="276" w:lineRule="auto"/>
        <w:jc w:val="both"/>
        <w:rPr>
          <w:rFonts w:ascii="Marianne" w:hAnsi="Marianne" w:cs="Times New Roman"/>
          <w:sz w:val="22"/>
          <w:szCs w:val="22"/>
        </w:rPr>
      </w:pPr>
      <w:r w:rsidRPr="00FD1932">
        <w:rPr>
          <w:rFonts w:ascii="Marianne" w:hAnsi="Marianne" w:cs="Times New Roman"/>
          <w:sz w:val="22"/>
          <w:szCs w:val="22"/>
        </w:rPr>
        <w:t>E</w:t>
      </w:r>
      <w:r w:rsidR="00C21FF2" w:rsidRPr="00FD1932">
        <w:rPr>
          <w:rFonts w:ascii="Marianne" w:hAnsi="Marianne" w:cs="Times New Roman"/>
          <w:sz w:val="22"/>
          <w:szCs w:val="22"/>
        </w:rPr>
        <w:t>n cas de risques importants de distorsion de concurrence, la Commission se réserve la possibilité d’imposer des exigences supplémentaires.</w:t>
      </w:r>
    </w:p>
    <w:p w14:paraId="0A1FBDF2" w14:textId="02A45904" w:rsidR="00322A09" w:rsidRPr="00FD1932" w:rsidRDefault="00BA3D04" w:rsidP="00C21FF2">
      <w:pPr>
        <w:pStyle w:val="Default"/>
        <w:spacing w:before="57" w:after="240" w:line="276" w:lineRule="auto"/>
        <w:jc w:val="both"/>
        <w:rPr>
          <w:rFonts w:ascii="Marianne" w:hAnsi="Marianne" w:cs="Times New Roman"/>
          <w:sz w:val="22"/>
          <w:szCs w:val="22"/>
        </w:rPr>
      </w:pPr>
      <w:r w:rsidRPr="00FD1932">
        <w:rPr>
          <w:rFonts w:ascii="Marianne" w:hAnsi="Marianne" w:cs="Times New Roman"/>
          <w:sz w:val="22"/>
          <w:szCs w:val="22"/>
        </w:rPr>
        <w:t>Les</w:t>
      </w:r>
      <w:r w:rsidR="00393885" w:rsidRPr="00FD1932">
        <w:rPr>
          <w:rFonts w:ascii="Marianne" w:hAnsi="Marianne" w:cs="Times New Roman"/>
          <w:sz w:val="22"/>
          <w:szCs w:val="22"/>
        </w:rPr>
        <w:t xml:space="preserve"> textes du «</w:t>
      </w:r>
      <w:r w:rsidR="00393885" w:rsidRPr="00FD1932">
        <w:rPr>
          <w:rFonts w:ascii="Calibri" w:hAnsi="Calibri" w:cs="Calibri"/>
          <w:sz w:val="22"/>
          <w:szCs w:val="22"/>
        </w:rPr>
        <w:t> </w:t>
      </w:r>
      <w:r w:rsidR="00393885" w:rsidRPr="00FD1932">
        <w:rPr>
          <w:rFonts w:ascii="Marianne" w:hAnsi="Marianne" w:cs="Times New Roman"/>
          <w:sz w:val="22"/>
          <w:szCs w:val="22"/>
        </w:rPr>
        <w:t>paquet Almunia</w:t>
      </w:r>
      <w:r w:rsidR="00393885" w:rsidRPr="00FD1932">
        <w:rPr>
          <w:rFonts w:ascii="Calibri" w:hAnsi="Calibri" w:cs="Calibri"/>
          <w:sz w:val="22"/>
          <w:szCs w:val="22"/>
        </w:rPr>
        <w:t> </w:t>
      </w:r>
      <w:r w:rsidR="00393885" w:rsidRPr="00FD1932">
        <w:rPr>
          <w:rFonts w:ascii="Marianne" w:hAnsi="Marianne" w:cs="Marianne"/>
          <w:sz w:val="22"/>
          <w:szCs w:val="22"/>
        </w:rPr>
        <w:t>»</w:t>
      </w:r>
      <w:r w:rsidR="00322A09" w:rsidRPr="00FD1932">
        <w:rPr>
          <w:rFonts w:ascii="Marianne" w:hAnsi="Marianne" w:cs="Times New Roman"/>
          <w:sz w:val="22"/>
          <w:szCs w:val="22"/>
        </w:rPr>
        <w:t xml:space="preserve"> fixe</w:t>
      </w:r>
      <w:r w:rsidR="00393885" w:rsidRPr="00FD1932">
        <w:rPr>
          <w:rFonts w:ascii="Marianne" w:hAnsi="Marianne" w:cs="Times New Roman"/>
          <w:sz w:val="22"/>
          <w:szCs w:val="22"/>
        </w:rPr>
        <w:t>nt,</w:t>
      </w:r>
      <w:r w:rsidR="0067221B" w:rsidRPr="00FD1932">
        <w:rPr>
          <w:rFonts w:ascii="Marianne" w:hAnsi="Marianne" w:cs="Times New Roman"/>
          <w:sz w:val="22"/>
          <w:szCs w:val="22"/>
        </w:rPr>
        <w:t xml:space="preserve"> enfin</w:t>
      </w:r>
      <w:r w:rsidR="00393885" w:rsidRPr="00FD1932">
        <w:rPr>
          <w:rFonts w:ascii="Marianne" w:hAnsi="Marianne" w:cs="Times New Roman"/>
          <w:sz w:val="22"/>
          <w:szCs w:val="22"/>
        </w:rPr>
        <w:t>,</w:t>
      </w:r>
      <w:r w:rsidR="00322A09" w:rsidRPr="00FD1932">
        <w:rPr>
          <w:rFonts w:ascii="Marianne" w:hAnsi="Marianne" w:cs="Times New Roman"/>
          <w:sz w:val="22"/>
          <w:szCs w:val="22"/>
        </w:rPr>
        <w:t xml:space="preserve"> des obligations de transparence</w:t>
      </w:r>
      <w:r w:rsidR="00745584" w:rsidRPr="00FD1932">
        <w:rPr>
          <w:rFonts w:ascii="Marianne" w:hAnsi="Marianne" w:cs="Times New Roman"/>
          <w:sz w:val="22"/>
          <w:szCs w:val="22"/>
        </w:rPr>
        <w:t xml:space="preserve"> pour les compensation</w:t>
      </w:r>
      <w:r w:rsidR="00664A59" w:rsidRPr="00FD1932">
        <w:rPr>
          <w:rFonts w:ascii="Marianne" w:hAnsi="Marianne" w:cs="Times New Roman"/>
          <w:sz w:val="22"/>
          <w:szCs w:val="22"/>
        </w:rPr>
        <w:t>s</w:t>
      </w:r>
      <w:r w:rsidR="00745584" w:rsidRPr="00FD1932">
        <w:rPr>
          <w:rFonts w:ascii="Marianne" w:hAnsi="Marianne" w:cs="Times New Roman"/>
          <w:sz w:val="22"/>
          <w:szCs w:val="22"/>
        </w:rPr>
        <w:t xml:space="preserve"> relevant d</w:t>
      </w:r>
      <w:r w:rsidR="00664A59" w:rsidRPr="00FD1932">
        <w:rPr>
          <w:rFonts w:ascii="Marianne" w:hAnsi="Marianne" w:cs="Times New Roman"/>
          <w:sz w:val="22"/>
          <w:szCs w:val="22"/>
        </w:rPr>
        <w:t>e</w:t>
      </w:r>
      <w:r w:rsidR="00745584" w:rsidRPr="00FD1932">
        <w:rPr>
          <w:rFonts w:ascii="Marianne" w:hAnsi="Marianne" w:cs="Times New Roman"/>
          <w:sz w:val="22"/>
          <w:szCs w:val="22"/>
        </w:rPr>
        <w:t xml:space="preserve"> </w:t>
      </w:r>
      <w:r w:rsidR="00393885" w:rsidRPr="00FD1932">
        <w:rPr>
          <w:rFonts w:ascii="Marianne" w:hAnsi="Marianne" w:cs="Times New Roman"/>
          <w:sz w:val="22"/>
          <w:szCs w:val="22"/>
        </w:rPr>
        <w:t xml:space="preserve">leurs </w:t>
      </w:r>
      <w:r w:rsidR="00745584" w:rsidRPr="00FD1932">
        <w:rPr>
          <w:rFonts w:ascii="Marianne" w:hAnsi="Marianne" w:cs="Times New Roman"/>
          <w:sz w:val="22"/>
          <w:szCs w:val="22"/>
        </w:rPr>
        <w:t>champ</w:t>
      </w:r>
      <w:r w:rsidR="00393885" w:rsidRPr="00FD1932">
        <w:rPr>
          <w:rFonts w:ascii="Marianne" w:hAnsi="Marianne" w:cs="Times New Roman"/>
          <w:sz w:val="22"/>
          <w:szCs w:val="22"/>
        </w:rPr>
        <w:t>s</w:t>
      </w:r>
      <w:r w:rsidR="00745584" w:rsidRPr="00FD1932">
        <w:rPr>
          <w:rFonts w:ascii="Marianne" w:hAnsi="Marianne" w:cs="Times New Roman"/>
          <w:sz w:val="22"/>
          <w:szCs w:val="22"/>
        </w:rPr>
        <w:t xml:space="preserve"> d’application</w:t>
      </w:r>
      <w:r w:rsidR="00393885" w:rsidRPr="00FD1932">
        <w:rPr>
          <w:rFonts w:ascii="Marianne" w:hAnsi="Marianne" w:cs="Times New Roman"/>
          <w:sz w:val="22"/>
          <w:szCs w:val="22"/>
        </w:rPr>
        <w:t xml:space="preserve"> respectifs</w:t>
      </w:r>
      <w:r w:rsidRPr="00FD1932">
        <w:rPr>
          <w:rFonts w:ascii="Marianne" w:hAnsi="Marianne" w:cs="Times New Roman"/>
          <w:sz w:val="22"/>
          <w:szCs w:val="22"/>
        </w:rPr>
        <w:t>, en particulier l’obligation de rapport bisannuel à la Commission sur la mise en œuvre de la Décision d’exemption</w:t>
      </w:r>
      <w:r w:rsidRPr="00FD1932">
        <w:rPr>
          <w:rStyle w:val="Appelnotedebasdep"/>
          <w:rFonts w:ascii="Marianne" w:hAnsi="Marianne" w:cs="Times New Roman"/>
          <w:sz w:val="22"/>
          <w:szCs w:val="22"/>
        </w:rPr>
        <w:footnoteReference w:id="11"/>
      </w:r>
      <w:r w:rsidRPr="00FD1932">
        <w:rPr>
          <w:rFonts w:ascii="Marianne" w:hAnsi="Marianne" w:cs="Times New Roman"/>
          <w:sz w:val="22"/>
          <w:szCs w:val="22"/>
        </w:rPr>
        <w:t xml:space="preserve"> et de l’Encadrement SIEG</w:t>
      </w:r>
      <w:r w:rsidRPr="00FD1932">
        <w:rPr>
          <w:rStyle w:val="Appelnotedebasdep"/>
          <w:rFonts w:ascii="Marianne" w:hAnsi="Marianne" w:cs="Times New Roman"/>
          <w:sz w:val="22"/>
          <w:szCs w:val="22"/>
        </w:rPr>
        <w:footnoteReference w:id="12"/>
      </w:r>
    </w:p>
    <w:p w14:paraId="2C50C3DC" w14:textId="5CB3BF95" w:rsidR="00502849" w:rsidRPr="00FD1932" w:rsidRDefault="00502849">
      <w:pPr>
        <w:rPr>
          <w:rFonts w:ascii="Marianne" w:hAnsi="Marianne"/>
        </w:rPr>
      </w:pPr>
    </w:p>
    <w:sectPr w:rsidR="00502849" w:rsidRPr="00FD1932" w:rsidSect="00887A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F00A5" w14:textId="77777777" w:rsidR="003C5A1C" w:rsidRDefault="003C5A1C" w:rsidP="00C21FF2">
      <w:pPr>
        <w:spacing w:after="0" w:line="240" w:lineRule="auto"/>
      </w:pPr>
      <w:r>
        <w:separator/>
      </w:r>
    </w:p>
  </w:endnote>
  <w:endnote w:type="continuationSeparator" w:id="0">
    <w:p w14:paraId="59362D30" w14:textId="77777777" w:rsidR="003C5A1C" w:rsidRDefault="003C5A1C" w:rsidP="00C2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424BD" w14:textId="5E67B3CB" w:rsidR="003C5A1C" w:rsidRDefault="00FD1932">
    <w:pPr>
      <w:pStyle w:val="Pieddepage"/>
      <w:jc w:val="right"/>
    </w:pPr>
    <w:r>
      <w:fldChar w:fldCharType="begin"/>
    </w:r>
    <w:r>
      <w:instrText xml:space="preserve"> PAGE   \* MERGEFORMAT </w:instrText>
    </w:r>
    <w:r>
      <w:fldChar w:fldCharType="separate"/>
    </w:r>
    <w:r w:rsidR="004D6426">
      <w:rPr>
        <w:noProof/>
      </w:rPr>
      <w:t>3</w:t>
    </w:r>
    <w:r>
      <w:rPr>
        <w:noProof/>
      </w:rPr>
      <w:fldChar w:fldCharType="end"/>
    </w:r>
  </w:p>
  <w:p w14:paraId="30322C92" w14:textId="77777777" w:rsidR="003C5A1C" w:rsidRDefault="003C5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C85EA" w14:textId="77777777" w:rsidR="003C5A1C" w:rsidRDefault="003C5A1C" w:rsidP="00C21FF2">
      <w:pPr>
        <w:spacing w:after="0" w:line="240" w:lineRule="auto"/>
      </w:pPr>
      <w:r>
        <w:separator/>
      </w:r>
    </w:p>
  </w:footnote>
  <w:footnote w:type="continuationSeparator" w:id="0">
    <w:p w14:paraId="30BD8E8F" w14:textId="77777777" w:rsidR="003C5A1C" w:rsidRDefault="003C5A1C" w:rsidP="00C21FF2">
      <w:pPr>
        <w:spacing w:after="0" w:line="240" w:lineRule="auto"/>
      </w:pPr>
      <w:r>
        <w:continuationSeparator/>
      </w:r>
    </w:p>
  </w:footnote>
  <w:footnote w:id="1">
    <w:p w14:paraId="45C1282A" w14:textId="77777777" w:rsidR="005E32B5" w:rsidRPr="00FD1932" w:rsidRDefault="005E32B5" w:rsidP="005E32B5">
      <w:pPr>
        <w:pStyle w:val="Notedebasdepage"/>
        <w:jc w:val="both"/>
        <w:rPr>
          <w:rFonts w:ascii="Marianne" w:hAnsi="Marianne"/>
        </w:rPr>
      </w:pPr>
      <w:r w:rsidRPr="00FD1932">
        <w:rPr>
          <w:rStyle w:val="Appelnotedebasdep"/>
          <w:rFonts w:ascii="Marianne" w:hAnsi="Marianne"/>
        </w:rPr>
        <w:footnoteRef/>
      </w:r>
      <w:r w:rsidRPr="00FD1932">
        <w:rPr>
          <w:rFonts w:ascii="Marianne" w:hAnsi="Marianne"/>
        </w:rPr>
        <w:t xml:space="preserve"> Décision 2012/21/UE de la Commission du 20 décembre 2011 relative à l’application de l’article 106, paragraphe 2 d TFUE aux aides d’Etat sous forme de compensations de service public octroyées à certaines entreprises chargées de la gestion de services d’intérêt économique général. </w:t>
      </w:r>
    </w:p>
  </w:footnote>
  <w:footnote w:id="2">
    <w:p w14:paraId="1E2EAF0C" w14:textId="77777777" w:rsidR="005E32B5" w:rsidRDefault="005E32B5" w:rsidP="005E32B5">
      <w:pPr>
        <w:pStyle w:val="Notedebasdepage"/>
        <w:jc w:val="both"/>
      </w:pPr>
      <w:r w:rsidRPr="00FD1932">
        <w:rPr>
          <w:rStyle w:val="Appelnotedebasdep"/>
          <w:rFonts w:ascii="Marianne" w:hAnsi="Marianne"/>
        </w:rPr>
        <w:footnoteRef/>
      </w:r>
      <w:r w:rsidRPr="00FD1932">
        <w:rPr>
          <w:rFonts w:ascii="Marianne" w:hAnsi="Marianne"/>
        </w:rPr>
        <w:t xml:space="preserve"> Communication de la Commission</w:t>
      </w:r>
      <w:r w:rsidRPr="00FD1932">
        <w:rPr>
          <w:rFonts w:ascii="Calibri" w:hAnsi="Calibri" w:cs="Calibri"/>
        </w:rPr>
        <w:t> </w:t>
      </w:r>
      <w:r w:rsidRPr="00FD1932">
        <w:rPr>
          <w:rFonts w:ascii="Marianne" w:hAnsi="Marianne"/>
        </w:rPr>
        <w:t>: Encadrement de l’Union européenne applicable aux aides d’Etat sous forme de compensations de service public, 2012/C 8/03.</w:t>
      </w:r>
      <w:r>
        <w:t xml:space="preserve"> </w:t>
      </w:r>
    </w:p>
  </w:footnote>
  <w:footnote w:id="3">
    <w:p w14:paraId="7FFE2663" w14:textId="77777777" w:rsidR="003C5A1C" w:rsidRPr="00FD1932" w:rsidRDefault="003C5A1C" w:rsidP="00AF63E1">
      <w:pPr>
        <w:pStyle w:val="Notedebasdepage"/>
        <w:jc w:val="both"/>
        <w:rPr>
          <w:rFonts w:ascii="Marianne" w:hAnsi="Marianne"/>
        </w:rPr>
      </w:pPr>
      <w:r w:rsidRPr="00FD1932">
        <w:rPr>
          <w:rStyle w:val="Appelnotedebasdep"/>
          <w:rFonts w:ascii="Marianne" w:hAnsi="Marianne"/>
        </w:rPr>
        <w:footnoteRef/>
      </w:r>
      <w:r w:rsidRPr="00FD1932">
        <w:rPr>
          <w:rFonts w:ascii="Marianne" w:hAnsi="Marianne"/>
        </w:rPr>
        <w:t xml:space="preserve"> </w:t>
      </w:r>
      <w:r w:rsidRPr="00FD1932">
        <w:rPr>
          <w:rFonts w:ascii="Marianne" w:hAnsi="Marianne"/>
          <w:sz w:val="18"/>
          <w:szCs w:val="18"/>
        </w:rPr>
        <w:t>Communication de la Commission du 20 décembre 2011 n° 2012/C 8/02 relative à l’application des règles de l’Union européenne en matière d’aides d’Etat aux compensations octroyées pour la prestation de services d’intérêt économique général, points 63 à 68.</w:t>
      </w:r>
    </w:p>
  </w:footnote>
  <w:footnote w:id="4">
    <w:p w14:paraId="5413ABA9" w14:textId="4292AECD" w:rsidR="00331B48" w:rsidRPr="00FD1932" w:rsidRDefault="00331B48" w:rsidP="004E26F9">
      <w:pPr>
        <w:pStyle w:val="Notedebasdepage"/>
        <w:jc w:val="both"/>
        <w:rPr>
          <w:rFonts w:ascii="Marianne" w:hAnsi="Marianne"/>
          <w:sz w:val="18"/>
          <w:szCs w:val="18"/>
        </w:rPr>
      </w:pPr>
      <w:r w:rsidRPr="00FD1932">
        <w:rPr>
          <w:rStyle w:val="Appelnotedebasdep"/>
          <w:rFonts w:ascii="Marianne" w:hAnsi="Marianne"/>
        </w:rPr>
        <w:footnoteRef/>
      </w:r>
      <w:r w:rsidRPr="00FD1932">
        <w:rPr>
          <w:rFonts w:ascii="Marianne" w:hAnsi="Marianne"/>
        </w:rPr>
        <w:t xml:space="preserve"> </w:t>
      </w:r>
      <w:r w:rsidRPr="00FD1932">
        <w:rPr>
          <w:rFonts w:ascii="Marianne" w:hAnsi="Marianne"/>
          <w:sz w:val="18"/>
          <w:szCs w:val="18"/>
        </w:rPr>
        <w:t xml:space="preserve"> Règlement UE n° </w:t>
      </w:r>
      <w:r w:rsidR="004E26F9" w:rsidRPr="004E26F9">
        <w:rPr>
          <w:rFonts w:ascii="Marianne" w:hAnsi="Marianne"/>
          <w:sz w:val="18"/>
          <w:szCs w:val="18"/>
        </w:rPr>
        <w:t xml:space="preserve"> 2023/283</w:t>
      </w:r>
      <w:r w:rsidR="004E26F9">
        <w:rPr>
          <w:rFonts w:ascii="Marianne" w:hAnsi="Marianne"/>
          <w:sz w:val="18"/>
          <w:szCs w:val="18"/>
        </w:rPr>
        <w:t xml:space="preserve"> </w:t>
      </w:r>
      <w:r w:rsidRPr="00FD1932">
        <w:rPr>
          <w:rFonts w:ascii="Marianne" w:hAnsi="Marianne"/>
          <w:sz w:val="18"/>
          <w:szCs w:val="18"/>
        </w:rPr>
        <w:t xml:space="preserve">de la Commission du </w:t>
      </w:r>
      <w:r w:rsidR="004E26F9">
        <w:rPr>
          <w:rFonts w:ascii="Marianne" w:hAnsi="Marianne"/>
          <w:sz w:val="18"/>
          <w:szCs w:val="18"/>
        </w:rPr>
        <w:t xml:space="preserve">13 décembre 2023 </w:t>
      </w:r>
      <w:r w:rsidR="004E26F9" w:rsidRPr="004E26F9">
        <w:rPr>
          <w:rFonts w:ascii="Marianne" w:hAnsi="Marianne"/>
          <w:sz w:val="18"/>
          <w:szCs w:val="18"/>
        </w:rPr>
        <w:t>relatif à l’application des articles 107 et 108 du traité sur le fonction</w:t>
      </w:r>
      <w:r w:rsidR="004E26F9">
        <w:rPr>
          <w:rFonts w:ascii="Marianne" w:hAnsi="Marianne"/>
          <w:sz w:val="18"/>
          <w:szCs w:val="18"/>
        </w:rPr>
        <w:t xml:space="preserve">nement de l’Union européenne </w:t>
      </w:r>
      <w:r w:rsidR="004E26F9" w:rsidRPr="004E26F9">
        <w:rPr>
          <w:rFonts w:ascii="Marianne" w:hAnsi="Marianne"/>
          <w:sz w:val="18"/>
          <w:szCs w:val="18"/>
        </w:rPr>
        <w:t>aux aides de minimis</w:t>
      </w:r>
    </w:p>
  </w:footnote>
  <w:footnote w:id="5">
    <w:p w14:paraId="32A377C4" w14:textId="52C67BE8" w:rsidR="004E26F9" w:rsidRPr="004E26F9" w:rsidRDefault="00331B48" w:rsidP="004E26F9">
      <w:pPr>
        <w:pStyle w:val="Notedebasdepage"/>
        <w:jc w:val="both"/>
        <w:rPr>
          <w:rFonts w:ascii="Marianne" w:hAnsi="Marianne"/>
          <w:sz w:val="18"/>
          <w:szCs w:val="18"/>
        </w:rPr>
      </w:pPr>
      <w:r w:rsidRPr="00FD1932">
        <w:rPr>
          <w:rStyle w:val="Appelnotedebasdep"/>
          <w:rFonts w:ascii="Marianne" w:hAnsi="Marianne"/>
        </w:rPr>
        <w:footnoteRef/>
      </w:r>
      <w:r w:rsidRPr="00FD1932">
        <w:rPr>
          <w:rFonts w:ascii="Marianne" w:hAnsi="Marianne"/>
        </w:rPr>
        <w:t xml:space="preserve"> </w:t>
      </w:r>
      <w:r w:rsidRPr="00FD1932">
        <w:rPr>
          <w:rFonts w:ascii="Marianne" w:hAnsi="Marianne"/>
          <w:sz w:val="18"/>
          <w:szCs w:val="18"/>
        </w:rPr>
        <w:t xml:space="preserve">Règlement UE </w:t>
      </w:r>
      <w:r w:rsidRPr="004E26F9">
        <w:rPr>
          <w:rFonts w:ascii="Marianne" w:hAnsi="Marianne"/>
          <w:sz w:val="18"/>
          <w:szCs w:val="18"/>
        </w:rPr>
        <w:t>n °</w:t>
      </w:r>
      <w:r w:rsidRPr="004E26F9">
        <w:rPr>
          <w:rFonts w:ascii="Calibri" w:hAnsi="Calibri" w:cs="Calibri"/>
          <w:sz w:val="18"/>
          <w:szCs w:val="18"/>
        </w:rPr>
        <w:t> </w:t>
      </w:r>
      <w:r w:rsidR="004E26F9" w:rsidRPr="004D6426">
        <w:rPr>
          <w:rFonts w:ascii="Marianne" w:hAnsi="Marianne" w:cs="Calibri"/>
          <w:sz w:val="18"/>
          <w:szCs w:val="18"/>
        </w:rPr>
        <w:t>2023/2832</w:t>
      </w:r>
      <w:r w:rsidRPr="00FD1932">
        <w:rPr>
          <w:rFonts w:ascii="Marianne" w:hAnsi="Marianne"/>
          <w:sz w:val="18"/>
          <w:szCs w:val="18"/>
        </w:rPr>
        <w:t xml:space="preserve"> de la Commission du</w:t>
      </w:r>
      <w:r w:rsidR="004E26F9">
        <w:rPr>
          <w:rFonts w:ascii="Marianne" w:hAnsi="Marianne"/>
          <w:sz w:val="18"/>
          <w:szCs w:val="18"/>
        </w:rPr>
        <w:t xml:space="preserve">13 décembre 2023 </w:t>
      </w:r>
      <w:r w:rsidR="004E26F9" w:rsidRPr="004E26F9">
        <w:rPr>
          <w:rFonts w:ascii="Marianne" w:hAnsi="Marianne"/>
          <w:sz w:val="18"/>
          <w:szCs w:val="18"/>
        </w:rPr>
        <w:t>relatif à l’application des articles 107 et 108 du traité sur le fonct</w:t>
      </w:r>
      <w:r w:rsidR="004E26F9">
        <w:rPr>
          <w:rFonts w:ascii="Marianne" w:hAnsi="Marianne"/>
          <w:sz w:val="18"/>
          <w:szCs w:val="18"/>
        </w:rPr>
        <w:t xml:space="preserve">ionnement de l’Union européenne </w:t>
      </w:r>
      <w:r w:rsidR="004E26F9" w:rsidRPr="004E26F9">
        <w:rPr>
          <w:rFonts w:ascii="Marianne" w:hAnsi="Marianne"/>
          <w:sz w:val="18"/>
          <w:szCs w:val="18"/>
        </w:rPr>
        <w:t>aux aides de minimis octroyées à des entreprises fournissant des services d’intérêt économique</w:t>
      </w:r>
    </w:p>
    <w:p w14:paraId="400D6E93" w14:textId="4BEE5002" w:rsidR="00331B48" w:rsidRPr="00FD1932" w:rsidRDefault="004E26F9" w:rsidP="004E26F9">
      <w:pPr>
        <w:pStyle w:val="Notedebasdepage"/>
        <w:jc w:val="both"/>
        <w:rPr>
          <w:rFonts w:ascii="Marianne" w:hAnsi="Marianne"/>
        </w:rPr>
      </w:pPr>
      <w:r w:rsidRPr="004E26F9">
        <w:rPr>
          <w:rFonts w:ascii="Marianne" w:hAnsi="Marianne"/>
          <w:sz w:val="18"/>
          <w:szCs w:val="18"/>
        </w:rPr>
        <w:t>généra</w:t>
      </w:r>
      <w:r>
        <w:rPr>
          <w:rFonts w:ascii="Marianne" w:hAnsi="Marianne"/>
          <w:sz w:val="18"/>
          <w:szCs w:val="18"/>
        </w:rPr>
        <w:t xml:space="preserve"> </w:t>
      </w:r>
      <w:r w:rsidR="00331B48" w:rsidRPr="00FD1932">
        <w:rPr>
          <w:rFonts w:ascii="Marianne" w:hAnsi="Marianne"/>
          <w:sz w:val="18"/>
          <w:szCs w:val="18"/>
        </w:rPr>
        <w:t>.</w:t>
      </w:r>
    </w:p>
  </w:footnote>
  <w:footnote w:id="6">
    <w:p w14:paraId="686B13E7" w14:textId="77777777" w:rsidR="003C5A1C" w:rsidRPr="00FD1932" w:rsidRDefault="003C5A1C" w:rsidP="00AF63E1">
      <w:pPr>
        <w:pStyle w:val="Notedebasdepage"/>
        <w:jc w:val="both"/>
        <w:rPr>
          <w:rFonts w:ascii="Marianne" w:hAnsi="Marianne"/>
          <w:sz w:val="18"/>
          <w:szCs w:val="18"/>
        </w:rPr>
      </w:pPr>
      <w:r w:rsidRPr="00FD1932">
        <w:rPr>
          <w:rStyle w:val="Appelnotedebasdep"/>
          <w:rFonts w:ascii="Marianne" w:hAnsi="Marianne"/>
          <w:sz w:val="18"/>
          <w:szCs w:val="18"/>
        </w:rPr>
        <w:footnoteRef/>
      </w:r>
      <w:r w:rsidRPr="00FD1932">
        <w:rPr>
          <w:rFonts w:ascii="Marianne" w:hAnsi="Marianne"/>
          <w:sz w:val="18"/>
          <w:szCs w:val="18"/>
        </w:rPr>
        <w:t xml:space="preserve"> L’articulation entre ces deux règlements est précisée dans le guide relatif à la gestion des services d’intérêt économique général du secrétariat général aux affaires européennes.</w:t>
      </w:r>
    </w:p>
  </w:footnote>
  <w:footnote w:id="7">
    <w:p w14:paraId="6EE77ED3" w14:textId="77777777" w:rsidR="003C5A1C" w:rsidRPr="00FD1932" w:rsidRDefault="003C5A1C" w:rsidP="00FB6194">
      <w:pPr>
        <w:pStyle w:val="Notedebasdepage"/>
        <w:jc w:val="both"/>
        <w:rPr>
          <w:rFonts w:ascii="Marianne" w:hAnsi="Marianne"/>
        </w:rPr>
      </w:pPr>
      <w:r w:rsidRPr="00FD1932">
        <w:rPr>
          <w:rStyle w:val="Appelnotedebasdep"/>
          <w:rFonts w:ascii="Marianne" w:hAnsi="Marianne"/>
        </w:rPr>
        <w:footnoteRef/>
      </w:r>
      <w:r w:rsidRPr="00FD1932">
        <w:rPr>
          <w:rFonts w:ascii="Marianne" w:hAnsi="Marianne"/>
        </w:rPr>
        <w:t xml:space="preserve"> </w:t>
      </w:r>
      <w:r w:rsidRPr="00FD1932">
        <w:rPr>
          <w:rFonts w:ascii="Marianne" w:hAnsi="Marianne"/>
          <w:sz w:val="18"/>
          <w:szCs w:val="18"/>
        </w:rPr>
        <w:t>Le paquet «</w:t>
      </w:r>
      <w:r w:rsidRPr="00FD1932">
        <w:rPr>
          <w:rFonts w:ascii="Calibri" w:hAnsi="Calibri" w:cs="Calibri"/>
          <w:sz w:val="18"/>
          <w:szCs w:val="18"/>
        </w:rPr>
        <w:t> </w:t>
      </w:r>
      <w:r w:rsidRPr="00FD1932">
        <w:rPr>
          <w:rFonts w:ascii="Marianne" w:hAnsi="Marianne"/>
          <w:sz w:val="18"/>
          <w:szCs w:val="18"/>
        </w:rPr>
        <w:t>Almunia</w:t>
      </w:r>
      <w:r w:rsidRPr="00FD1932">
        <w:rPr>
          <w:rFonts w:ascii="Calibri" w:hAnsi="Calibri" w:cs="Calibri"/>
          <w:sz w:val="18"/>
          <w:szCs w:val="18"/>
        </w:rPr>
        <w:t> </w:t>
      </w:r>
      <w:r w:rsidRPr="00FD1932">
        <w:rPr>
          <w:rFonts w:ascii="Marianne" w:hAnsi="Marianne" w:cs="Marianne"/>
          <w:sz w:val="18"/>
          <w:szCs w:val="18"/>
        </w:rPr>
        <w:t>»</w:t>
      </w:r>
      <w:r w:rsidRPr="00FD1932">
        <w:rPr>
          <w:rFonts w:ascii="Marianne" w:hAnsi="Marianne"/>
          <w:sz w:val="18"/>
          <w:szCs w:val="18"/>
        </w:rPr>
        <w:t xml:space="preserve"> succ</w:t>
      </w:r>
      <w:r w:rsidRPr="00FD1932">
        <w:rPr>
          <w:rFonts w:ascii="Marianne" w:hAnsi="Marianne" w:cs="Marianne"/>
          <w:sz w:val="18"/>
          <w:szCs w:val="18"/>
        </w:rPr>
        <w:t>è</w:t>
      </w:r>
      <w:r w:rsidRPr="00FD1932">
        <w:rPr>
          <w:rFonts w:ascii="Marianne" w:hAnsi="Marianne"/>
          <w:sz w:val="18"/>
          <w:szCs w:val="18"/>
        </w:rPr>
        <w:t xml:space="preserve">de au paquet </w:t>
      </w:r>
      <w:r w:rsidRPr="00FD1932">
        <w:rPr>
          <w:rFonts w:ascii="Marianne" w:hAnsi="Marianne" w:cs="Marianne"/>
          <w:sz w:val="18"/>
          <w:szCs w:val="18"/>
        </w:rPr>
        <w:t>«</w:t>
      </w:r>
      <w:r w:rsidRPr="00FD1932">
        <w:rPr>
          <w:rFonts w:ascii="Calibri" w:hAnsi="Calibri" w:cs="Calibri"/>
          <w:sz w:val="18"/>
          <w:szCs w:val="18"/>
        </w:rPr>
        <w:t> </w:t>
      </w:r>
      <w:r w:rsidRPr="00FD1932">
        <w:rPr>
          <w:rFonts w:ascii="Marianne" w:hAnsi="Marianne"/>
          <w:sz w:val="18"/>
          <w:szCs w:val="18"/>
        </w:rPr>
        <w:t>Monti-Kroes</w:t>
      </w:r>
      <w:r w:rsidRPr="00FD1932">
        <w:rPr>
          <w:rFonts w:ascii="Calibri" w:hAnsi="Calibri" w:cs="Calibri"/>
          <w:sz w:val="18"/>
          <w:szCs w:val="18"/>
        </w:rPr>
        <w:t> </w:t>
      </w:r>
      <w:r w:rsidRPr="00FD1932">
        <w:rPr>
          <w:rFonts w:ascii="Marianne" w:hAnsi="Marianne" w:cs="Marianne"/>
          <w:sz w:val="18"/>
          <w:szCs w:val="18"/>
        </w:rPr>
        <w:t>»</w:t>
      </w:r>
      <w:r w:rsidRPr="00FD1932">
        <w:rPr>
          <w:rFonts w:ascii="Marianne" w:hAnsi="Marianne"/>
          <w:sz w:val="18"/>
          <w:szCs w:val="18"/>
        </w:rPr>
        <w:t xml:space="preserve">, corpus de trois textes en vigueur de 2005 </w:t>
      </w:r>
      <w:r w:rsidRPr="00FD1932">
        <w:rPr>
          <w:rFonts w:ascii="Marianne" w:hAnsi="Marianne" w:cs="Marianne"/>
          <w:sz w:val="18"/>
          <w:szCs w:val="18"/>
        </w:rPr>
        <w:t>à</w:t>
      </w:r>
      <w:r w:rsidRPr="00FD1932">
        <w:rPr>
          <w:rFonts w:ascii="Marianne" w:hAnsi="Marianne"/>
          <w:sz w:val="18"/>
          <w:szCs w:val="18"/>
        </w:rPr>
        <w:t xml:space="preserve"> 2011. Il s</w:t>
      </w:r>
      <w:r w:rsidRPr="00FD1932">
        <w:rPr>
          <w:rFonts w:ascii="Marianne" w:hAnsi="Marianne" w:cs="Marianne"/>
          <w:sz w:val="18"/>
          <w:szCs w:val="18"/>
        </w:rPr>
        <w:t>’</w:t>
      </w:r>
      <w:r w:rsidRPr="00FD1932">
        <w:rPr>
          <w:rFonts w:ascii="Marianne" w:hAnsi="Marianne"/>
          <w:sz w:val="18"/>
          <w:szCs w:val="18"/>
        </w:rPr>
        <w:t>agit des premiers textes d</w:t>
      </w:r>
      <w:r w:rsidRPr="00FD1932">
        <w:rPr>
          <w:rFonts w:ascii="Marianne" w:hAnsi="Marianne" w:cs="Marianne"/>
          <w:sz w:val="18"/>
          <w:szCs w:val="18"/>
        </w:rPr>
        <w:t>’</w:t>
      </w:r>
      <w:r w:rsidRPr="00FD1932">
        <w:rPr>
          <w:rFonts w:ascii="Marianne" w:hAnsi="Marianne"/>
          <w:sz w:val="18"/>
          <w:szCs w:val="18"/>
        </w:rPr>
        <w:t>application des dispositions de l</w:t>
      </w:r>
      <w:r w:rsidRPr="00FD1932">
        <w:rPr>
          <w:rFonts w:ascii="Marianne" w:hAnsi="Marianne" w:cs="Marianne"/>
          <w:sz w:val="18"/>
          <w:szCs w:val="18"/>
        </w:rPr>
        <w:t>’</w:t>
      </w:r>
      <w:r w:rsidRPr="00FD1932">
        <w:rPr>
          <w:rFonts w:ascii="Marianne" w:hAnsi="Marianne"/>
          <w:sz w:val="18"/>
          <w:szCs w:val="18"/>
        </w:rPr>
        <w:t>article 106</w:t>
      </w:r>
      <w:r w:rsidRPr="00FD1932">
        <w:rPr>
          <w:rFonts w:ascii="Marianne" w:hAnsi="Marianne" w:cs="Marianne"/>
          <w:sz w:val="18"/>
          <w:szCs w:val="18"/>
        </w:rPr>
        <w:t>§</w:t>
      </w:r>
      <w:r w:rsidRPr="00FD1932">
        <w:rPr>
          <w:rFonts w:ascii="Marianne" w:hAnsi="Marianne"/>
          <w:sz w:val="18"/>
          <w:szCs w:val="18"/>
        </w:rPr>
        <w:t>2 du Trait</w:t>
      </w:r>
      <w:r w:rsidRPr="00FD1932">
        <w:rPr>
          <w:rFonts w:ascii="Marianne" w:hAnsi="Marianne" w:cs="Marianne"/>
          <w:sz w:val="18"/>
          <w:szCs w:val="18"/>
        </w:rPr>
        <w:t>é</w:t>
      </w:r>
      <w:r w:rsidRPr="00FD1932">
        <w:rPr>
          <w:rFonts w:ascii="Marianne" w:hAnsi="Marianne"/>
          <w:sz w:val="18"/>
          <w:szCs w:val="18"/>
        </w:rPr>
        <w:t>. Cette r</w:t>
      </w:r>
      <w:r w:rsidRPr="00FD1932">
        <w:rPr>
          <w:rFonts w:ascii="Marianne" w:hAnsi="Marianne" w:cs="Marianne"/>
          <w:sz w:val="18"/>
          <w:szCs w:val="18"/>
        </w:rPr>
        <w:t>è</w:t>
      </w:r>
      <w:r w:rsidRPr="00FD1932">
        <w:rPr>
          <w:rFonts w:ascii="Marianne" w:hAnsi="Marianne"/>
          <w:sz w:val="18"/>
          <w:szCs w:val="18"/>
        </w:rPr>
        <w:t>glementation avait introduit en 2005 le régime spécifique des «</w:t>
      </w:r>
      <w:r w:rsidRPr="00FD1932">
        <w:rPr>
          <w:rFonts w:ascii="Calibri" w:hAnsi="Calibri" w:cs="Calibri"/>
          <w:sz w:val="18"/>
          <w:szCs w:val="18"/>
        </w:rPr>
        <w:t> </w:t>
      </w:r>
      <w:r w:rsidRPr="00FD1932">
        <w:rPr>
          <w:rFonts w:ascii="Marianne" w:hAnsi="Marianne"/>
          <w:i/>
          <w:sz w:val="18"/>
          <w:szCs w:val="18"/>
        </w:rPr>
        <w:t>aides d’Etat sous forme de compensation de service public</w:t>
      </w:r>
      <w:r w:rsidRPr="00FD1932">
        <w:rPr>
          <w:rFonts w:ascii="Calibri" w:hAnsi="Calibri" w:cs="Calibri"/>
          <w:sz w:val="18"/>
          <w:szCs w:val="18"/>
        </w:rPr>
        <w:t> </w:t>
      </w:r>
      <w:r w:rsidRPr="00FD1932">
        <w:rPr>
          <w:rFonts w:ascii="Marianne" w:hAnsi="Marianne" w:cs="Marianne"/>
          <w:sz w:val="18"/>
          <w:szCs w:val="18"/>
        </w:rPr>
        <w:t>»</w:t>
      </w:r>
      <w:r w:rsidRPr="00FD1932">
        <w:rPr>
          <w:rFonts w:ascii="Marianne" w:hAnsi="Marianne"/>
          <w:sz w:val="18"/>
          <w:szCs w:val="18"/>
        </w:rPr>
        <w:t>.</w:t>
      </w:r>
    </w:p>
  </w:footnote>
  <w:footnote w:id="8">
    <w:p w14:paraId="41F952CC" w14:textId="77777777" w:rsidR="003C5A1C" w:rsidRPr="00FD1932" w:rsidRDefault="003C5A1C" w:rsidP="00416439">
      <w:pPr>
        <w:pStyle w:val="Notedebasdepage"/>
        <w:jc w:val="both"/>
        <w:rPr>
          <w:rFonts w:ascii="Marianne" w:hAnsi="Marianne"/>
          <w:sz w:val="18"/>
          <w:szCs w:val="18"/>
        </w:rPr>
      </w:pPr>
      <w:r w:rsidRPr="00FD1932">
        <w:rPr>
          <w:rStyle w:val="Appelnotedebasdep"/>
          <w:rFonts w:ascii="Marianne" w:hAnsi="Marianne"/>
          <w:sz w:val="18"/>
          <w:szCs w:val="18"/>
        </w:rPr>
        <w:footnoteRef/>
      </w:r>
      <w:r w:rsidRPr="00FD1932">
        <w:rPr>
          <w:rFonts w:ascii="Marianne" w:hAnsi="Marianne"/>
          <w:sz w:val="18"/>
          <w:szCs w:val="18"/>
        </w:rPr>
        <w:t xml:space="preserve"> Ces compensations n’entrent pas dans le champ d’application de l’article 106§2 du TFUE, définissant le régime général des SIEG.</w:t>
      </w:r>
    </w:p>
  </w:footnote>
  <w:footnote w:id="9">
    <w:p w14:paraId="14EA368D" w14:textId="77777777" w:rsidR="003C5A1C" w:rsidRDefault="003C5A1C" w:rsidP="00416439">
      <w:pPr>
        <w:pStyle w:val="Notedebasdepage"/>
        <w:jc w:val="both"/>
      </w:pPr>
      <w:r w:rsidRPr="00FD1932">
        <w:rPr>
          <w:rStyle w:val="Appelnotedebasdep"/>
          <w:rFonts w:ascii="Marianne" w:hAnsi="Marianne"/>
        </w:rPr>
        <w:footnoteRef/>
      </w:r>
      <w:r w:rsidRPr="00FD1932">
        <w:rPr>
          <w:rFonts w:ascii="Marianne" w:hAnsi="Marianne"/>
        </w:rPr>
        <w:t xml:space="preserve"> R</w:t>
      </w:r>
      <w:r w:rsidRPr="00FD1932">
        <w:rPr>
          <w:rFonts w:ascii="Marianne" w:hAnsi="Marianne"/>
          <w:sz w:val="18"/>
          <w:szCs w:val="18"/>
        </w:rPr>
        <w:t>èglement CE n°1370-2007 du Parlement européen et du Conseil du 23</w:t>
      </w:r>
      <w:r w:rsidRPr="00FD1932">
        <w:rPr>
          <w:rFonts w:ascii="Calibri" w:hAnsi="Calibri" w:cs="Calibri"/>
          <w:sz w:val="18"/>
          <w:szCs w:val="18"/>
        </w:rPr>
        <w:t> </w:t>
      </w:r>
      <w:r w:rsidRPr="00FD1932">
        <w:rPr>
          <w:rFonts w:ascii="Marianne" w:hAnsi="Marianne"/>
          <w:sz w:val="18"/>
          <w:szCs w:val="18"/>
        </w:rPr>
        <w:t>octobre 2007</w:t>
      </w:r>
      <w:r w:rsidRPr="00FD1932">
        <w:rPr>
          <w:rFonts w:ascii="Marianne" w:hAnsi="Marianne"/>
        </w:rPr>
        <w:t xml:space="preserve"> </w:t>
      </w:r>
      <w:r w:rsidRPr="00FD1932">
        <w:rPr>
          <w:rFonts w:ascii="Marianne" w:hAnsi="Marianne"/>
          <w:sz w:val="18"/>
          <w:szCs w:val="18"/>
        </w:rPr>
        <w:t>relatif aux services publics de transport de voyageurs par chemin de fer et par route.</w:t>
      </w:r>
    </w:p>
  </w:footnote>
  <w:footnote w:id="10">
    <w:p w14:paraId="783B7BE9" w14:textId="77777777" w:rsidR="003C5A1C" w:rsidRPr="00FD1932" w:rsidRDefault="003C5A1C" w:rsidP="00416439">
      <w:pPr>
        <w:pStyle w:val="Notedebasdepage"/>
        <w:jc w:val="both"/>
        <w:rPr>
          <w:rFonts w:ascii="Marianne" w:hAnsi="Marianne"/>
          <w:sz w:val="18"/>
          <w:szCs w:val="18"/>
        </w:rPr>
      </w:pPr>
      <w:r w:rsidRPr="00FD1932">
        <w:rPr>
          <w:rStyle w:val="Appelnotedebasdep"/>
          <w:rFonts w:ascii="Marianne" w:hAnsi="Marianne"/>
          <w:sz w:val="18"/>
          <w:szCs w:val="18"/>
        </w:rPr>
        <w:footnoteRef/>
      </w:r>
      <w:r w:rsidRPr="00FD1932">
        <w:rPr>
          <w:rFonts w:ascii="Marianne" w:hAnsi="Marianne"/>
          <w:sz w:val="18"/>
          <w:szCs w:val="18"/>
        </w:rPr>
        <w:t xml:space="preserve"> Communication de la Commission du 20 décembre 2011 n° 2012/C 8/02 relative à l’application des règles de l’Union européenne en matière d’aides d’Etat aux compensations octroyées pour la prestation de services d’intérêt économique général, précitée, points 11 à 60.</w:t>
      </w:r>
    </w:p>
  </w:footnote>
  <w:footnote w:id="11">
    <w:p w14:paraId="1EC74B19" w14:textId="041B8249" w:rsidR="00BA3D04" w:rsidRPr="00FD1932" w:rsidRDefault="00BA3D04">
      <w:pPr>
        <w:pStyle w:val="Notedebasdepage"/>
        <w:rPr>
          <w:rFonts w:ascii="Marianne" w:hAnsi="Marianne"/>
        </w:rPr>
      </w:pPr>
      <w:r w:rsidRPr="00FD1932">
        <w:rPr>
          <w:rStyle w:val="Appelnotedebasdep"/>
          <w:rFonts w:ascii="Marianne" w:hAnsi="Marianne"/>
        </w:rPr>
        <w:footnoteRef/>
      </w:r>
      <w:r w:rsidRPr="00FD1932">
        <w:rPr>
          <w:rFonts w:ascii="Marianne" w:hAnsi="Marianne"/>
        </w:rPr>
        <w:t xml:space="preserve"> Article 9 de la Décision d’exemption. </w:t>
      </w:r>
    </w:p>
  </w:footnote>
  <w:footnote w:id="12">
    <w:p w14:paraId="20801210" w14:textId="30B7B5E5" w:rsidR="00BA3D04" w:rsidRDefault="00BA3D04">
      <w:pPr>
        <w:pStyle w:val="Notedebasdepage"/>
      </w:pPr>
      <w:r w:rsidRPr="00FD1932">
        <w:rPr>
          <w:rStyle w:val="Appelnotedebasdep"/>
          <w:rFonts w:ascii="Marianne" w:hAnsi="Marianne"/>
        </w:rPr>
        <w:footnoteRef/>
      </w:r>
      <w:r w:rsidRPr="00FD1932">
        <w:rPr>
          <w:rFonts w:ascii="Marianne" w:hAnsi="Marianne"/>
        </w:rPr>
        <w:t xml:space="preserve"> Point 62 de l’Encadrement SIEG.</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6C8"/>
    <w:multiLevelType w:val="hybridMultilevel"/>
    <w:tmpl w:val="20D27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DD01F2"/>
    <w:multiLevelType w:val="hybridMultilevel"/>
    <w:tmpl w:val="B47EE28E"/>
    <w:lvl w:ilvl="0" w:tplc="62F83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742BA5"/>
    <w:multiLevelType w:val="hybridMultilevel"/>
    <w:tmpl w:val="494A0790"/>
    <w:lvl w:ilvl="0" w:tplc="62F83F5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C84262"/>
    <w:multiLevelType w:val="hybridMultilevel"/>
    <w:tmpl w:val="029EDF14"/>
    <w:lvl w:ilvl="0" w:tplc="3F701CC4">
      <w:numFmt w:val="bullet"/>
      <w:lvlText w:val=""/>
      <w:lvlJc w:val="left"/>
      <w:pPr>
        <w:ind w:left="720" w:hanging="360"/>
      </w:pPr>
      <w:rPr>
        <w:rFonts w:ascii="Wingdings" w:eastAsia="Calibri" w:hAnsi="Wingdings"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4849CF"/>
    <w:multiLevelType w:val="hybridMultilevel"/>
    <w:tmpl w:val="AF8C1EF0"/>
    <w:lvl w:ilvl="0" w:tplc="B19C61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F5238F"/>
    <w:multiLevelType w:val="hybridMultilevel"/>
    <w:tmpl w:val="BC0EFE40"/>
    <w:lvl w:ilvl="0" w:tplc="77C8C08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2A4414A"/>
    <w:multiLevelType w:val="hybridMultilevel"/>
    <w:tmpl w:val="20C471FE"/>
    <w:lvl w:ilvl="0" w:tplc="239C79B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1A10E0"/>
    <w:multiLevelType w:val="hybridMultilevel"/>
    <w:tmpl w:val="88664286"/>
    <w:lvl w:ilvl="0" w:tplc="F2E0137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E807AA6"/>
    <w:multiLevelType w:val="hybridMultilevel"/>
    <w:tmpl w:val="E36AFDD8"/>
    <w:lvl w:ilvl="0" w:tplc="5A7488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FBA4D40"/>
    <w:multiLevelType w:val="hybridMultilevel"/>
    <w:tmpl w:val="0352C574"/>
    <w:lvl w:ilvl="0" w:tplc="7E143C92">
      <w:start w:val="107"/>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4"/>
  </w:num>
  <w:num w:numId="6">
    <w:abstractNumId w:val="0"/>
  </w:num>
  <w:num w:numId="7">
    <w:abstractNumId w:val="2"/>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F2"/>
    <w:rsid w:val="00002CAC"/>
    <w:rsid w:val="000125A4"/>
    <w:rsid w:val="0001432C"/>
    <w:rsid w:val="000616C1"/>
    <w:rsid w:val="000A656E"/>
    <w:rsid w:val="00114D1B"/>
    <w:rsid w:val="00195792"/>
    <w:rsid w:val="001A11C5"/>
    <w:rsid w:val="001E2E92"/>
    <w:rsid w:val="001F2FB3"/>
    <w:rsid w:val="001F67D9"/>
    <w:rsid w:val="002608DA"/>
    <w:rsid w:val="00267980"/>
    <w:rsid w:val="0029233F"/>
    <w:rsid w:val="002B6979"/>
    <w:rsid w:val="002F30E3"/>
    <w:rsid w:val="003128D5"/>
    <w:rsid w:val="00322A09"/>
    <w:rsid w:val="00331B48"/>
    <w:rsid w:val="00390F05"/>
    <w:rsid w:val="00393885"/>
    <w:rsid w:val="003C5A1C"/>
    <w:rsid w:val="003D736D"/>
    <w:rsid w:val="00415E25"/>
    <w:rsid w:val="00416439"/>
    <w:rsid w:val="00467A55"/>
    <w:rsid w:val="00495AE2"/>
    <w:rsid w:val="00495F8E"/>
    <w:rsid w:val="004D6426"/>
    <w:rsid w:val="004E26F9"/>
    <w:rsid w:val="004E36A3"/>
    <w:rsid w:val="00502849"/>
    <w:rsid w:val="00504823"/>
    <w:rsid w:val="00511A85"/>
    <w:rsid w:val="00520BF0"/>
    <w:rsid w:val="00584F5A"/>
    <w:rsid w:val="00596DB8"/>
    <w:rsid w:val="005A0AD3"/>
    <w:rsid w:val="005C4A20"/>
    <w:rsid w:val="005E08C4"/>
    <w:rsid w:val="005E32B5"/>
    <w:rsid w:val="006123BE"/>
    <w:rsid w:val="00623E93"/>
    <w:rsid w:val="00655444"/>
    <w:rsid w:val="00664A59"/>
    <w:rsid w:val="0067221B"/>
    <w:rsid w:val="00675848"/>
    <w:rsid w:val="00692D0A"/>
    <w:rsid w:val="00745584"/>
    <w:rsid w:val="00757380"/>
    <w:rsid w:val="007C54B5"/>
    <w:rsid w:val="00841A09"/>
    <w:rsid w:val="00887AB4"/>
    <w:rsid w:val="008C44E9"/>
    <w:rsid w:val="00905888"/>
    <w:rsid w:val="00924B56"/>
    <w:rsid w:val="009655B5"/>
    <w:rsid w:val="00971901"/>
    <w:rsid w:val="00977306"/>
    <w:rsid w:val="009A5521"/>
    <w:rsid w:val="009D668E"/>
    <w:rsid w:val="00A16117"/>
    <w:rsid w:val="00A60E4A"/>
    <w:rsid w:val="00A65DF0"/>
    <w:rsid w:val="00A910DC"/>
    <w:rsid w:val="00AA2F3F"/>
    <w:rsid w:val="00AF63E1"/>
    <w:rsid w:val="00B05906"/>
    <w:rsid w:val="00B073F8"/>
    <w:rsid w:val="00B07BA2"/>
    <w:rsid w:val="00B67E7A"/>
    <w:rsid w:val="00B9285D"/>
    <w:rsid w:val="00B94EE0"/>
    <w:rsid w:val="00BA3D04"/>
    <w:rsid w:val="00BB30BD"/>
    <w:rsid w:val="00BE01F4"/>
    <w:rsid w:val="00C102C9"/>
    <w:rsid w:val="00C12F8F"/>
    <w:rsid w:val="00C21FF2"/>
    <w:rsid w:val="00C67FB5"/>
    <w:rsid w:val="00C75108"/>
    <w:rsid w:val="00CA046D"/>
    <w:rsid w:val="00CB16AB"/>
    <w:rsid w:val="00CB3BB5"/>
    <w:rsid w:val="00D158A8"/>
    <w:rsid w:val="00D40BC4"/>
    <w:rsid w:val="00D655F4"/>
    <w:rsid w:val="00D972DB"/>
    <w:rsid w:val="00DC1C1E"/>
    <w:rsid w:val="00E102D3"/>
    <w:rsid w:val="00E60D33"/>
    <w:rsid w:val="00F10AF2"/>
    <w:rsid w:val="00F171E6"/>
    <w:rsid w:val="00F70195"/>
    <w:rsid w:val="00F82659"/>
    <w:rsid w:val="00FB6194"/>
    <w:rsid w:val="00FC7EA6"/>
    <w:rsid w:val="00FD1932"/>
    <w:rsid w:val="00FD56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7BE8"/>
  <w15:docId w15:val="{1CF1B115-D15A-48E8-B16C-12F99671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FF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1FF2"/>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uiPriority w:val="99"/>
    <w:semiHidden/>
    <w:rsid w:val="00C21FF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C21FF2"/>
    <w:rPr>
      <w:vertAlign w:val="superscript"/>
    </w:rPr>
  </w:style>
  <w:style w:type="character" w:styleId="Lienhypertexte">
    <w:name w:val="Hyperlink"/>
    <w:basedOn w:val="Policepardfaut"/>
    <w:uiPriority w:val="99"/>
    <w:unhideWhenUsed/>
    <w:rsid w:val="00C21FF2"/>
    <w:rPr>
      <w:color w:val="0000FF"/>
      <w:u w:val="single"/>
    </w:rPr>
  </w:style>
  <w:style w:type="paragraph" w:styleId="Pieddepage">
    <w:name w:val="footer"/>
    <w:basedOn w:val="Normal"/>
    <w:link w:val="PieddepageCar"/>
    <w:uiPriority w:val="99"/>
    <w:unhideWhenUsed/>
    <w:rsid w:val="00C21FF2"/>
    <w:pPr>
      <w:tabs>
        <w:tab w:val="center" w:pos="4536"/>
        <w:tab w:val="right" w:pos="9072"/>
      </w:tabs>
    </w:pPr>
  </w:style>
  <w:style w:type="character" w:customStyle="1" w:styleId="PieddepageCar">
    <w:name w:val="Pied de page Car"/>
    <w:basedOn w:val="Policepardfaut"/>
    <w:link w:val="Pieddepage"/>
    <w:uiPriority w:val="99"/>
    <w:rsid w:val="00C21FF2"/>
    <w:rPr>
      <w:rFonts w:ascii="Calibri" w:eastAsia="Calibri" w:hAnsi="Calibri" w:cs="Times New Roman"/>
    </w:rPr>
  </w:style>
  <w:style w:type="paragraph" w:customStyle="1" w:styleId="Default">
    <w:name w:val="Default"/>
    <w:uiPriority w:val="99"/>
    <w:rsid w:val="00C21FF2"/>
    <w:pPr>
      <w:autoSpaceDE w:val="0"/>
      <w:autoSpaceDN w:val="0"/>
      <w:adjustRightInd w:val="0"/>
    </w:pPr>
    <w:rPr>
      <w:rFonts w:ascii="EUAlbertina" w:eastAsia="Times New Roman" w:hAnsi="EUAlbertina" w:cs="EUAlbertina"/>
      <w:color w:val="000000"/>
      <w:sz w:val="24"/>
      <w:szCs w:val="24"/>
    </w:rPr>
  </w:style>
  <w:style w:type="paragraph" w:styleId="Textedebulles">
    <w:name w:val="Balloon Text"/>
    <w:basedOn w:val="Normal"/>
    <w:link w:val="TextedebullesCar"/>
    <w:uiPriority w:val="99"/>
    <w:semiHidden/>
    <w:unhideWhenUsed/>
    <w:rsid w:val="00FB61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194"/>
    <w:rPr>
      <w:rFonts w:ascii="Tahoma" w:hAnsi="Tahoma" w:cs="Tahoma"/>
      <w:sz w:val="16"/>
      <w:szCs w:val="16"/>
      <w:lang w:eastAsia="en-US"/>
    </w:rPr>
  </w:style>
  <w:style w:type="character" w:customStyle="1" w:styleId="iy1">
    <w:name w:val="iy1"/>
    <w:basedOn w:val="Policepardfaut"/>
    <w:rsid w:val="0001432C"/>
    <w:rPr>
      <w:i w:val="0"/>
      <w:iCs w:val="0"/>
      <w:position w:val="0"/>
      <w:sz w:val="24"/>
      <w:szCs w:val="24"/>
      <w:bdr w:val="none" w:sz="0" w:space="0" w:color="auto" w:frame="1"/>
    </w:rPr>
  </w:style>
  <w:style w:type="character" w:styleId="Marquedecommentaire">
    <w:name w:val="annotation reference"/>
    <w:basedOn w:val="Policepardfaut"/>
    <w:uiPriority w:val="99"/>
    <w:semiHidden/>
    <w:unhideWhenUsed/>
    <w:rsid w:val="002608DA"/>
    <w:rPr>
      <w:sz w:val="16"/>
      <w:szCs w:val="16"/>
    </w:rPr>
  </w:style>
  <w:style w:type="paragraph" w:styleId="Commentaire">
    <w:name w:val="annotation text"/>
    <w:basedOn w:val="Normal"/>
    <w:link w:val="CommentaireCar"/>
    <w:uiPriority w:val="99"/>
    <w:semiHidden/>
    <w:unhideWhenUsed/>
    <w:rsid w:val="002608DA"/>
    <w:rPr>
      <w:sz w:val="20"/>
      <w:szCs w:val="20"/>
    </w:rPr>
  </w:style>
  <w:style w:type="character" w:customStyle="1" w:styleId="CommentaireCar">
    <w:name w:val="Commentaire Car"/>
    <w:basedOn w:val="Policepardfaut"/>
    <w:link w:val="Commentaire"/>
    <w:uiPriority w:val="99"/>
    <w:semiHidden/>
    <w:rsid w:val="002608DA"/>
    <w:rPr>
      <w:lang w:eastAsia="en-US"/>
    </w:rPr>
  </w:style>
  <w:style w:type="paragraph" w:styleId="Objetducommentaire">
    <w:name w:val="annotation subject"/>
    <w:basedOn w:val="Commentaire"/>
    <w:next w:val="Commentaire"/>
    <w:link w:val="ObjetducommentaireCar"/>
    <w:uiPriority w:val="99"/>
    <w:semiHidden/>
    <w:unhideWhenUsed/>
    <w:rsid w:val="002608DA"/>
    <w:rPr>
      <w:b/>
      <w:bCs/>
    </w:rPr>
  </w:style>
  <w:style w:type="character" w:customStyle="1" w:styleId="ObjetducommentaireCar">
    <w:name w:val="Objet du commentaire Car"/>
    <w:basedOn w:val="CommentaireCar"/>
    <w:link w:val="Objetducommentaire"/>
    <w:uiPriority w:val="99"/>
    <w:semiHidden/>
    <w:rsid w:val="002608DA"/>
    <w:rPr>
      <w:b/>
      <w:bCs/>
      <w:lang w:eastAsia="en-US"/>
    </w:rPr>
  </w:style>
  <w:style w:type="paragraph" w:styleId="Paragraphedeliste">
    <w:name w:val="List Paragraph"/>
    <w:basedOn w:val="Normal"/>
    <w:uiPriority w:val="34"/>
    <w:qFormat/>
    <w:rsid w:val="003D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61949-EBCD-4596-8C7D-1CCDD3C1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10037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KIPIANI Patricia</cp:lastModifiedBy>
  <cp:revision>2</cp:revision>
  <dcterms:created xsi:type="dcterms:W3CDTF">2024-04-12T14:44:00Z</dcterms:created>
  <dcterms:modified xsi:type="dcterms:W3CDTF">2024-04-12T14:44:00Z</dcterms:modified>
</cp:coreProperties>
</file>