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D4043" w14:textId="139498CE" w:rsidR="002378FC" w:rsidRDefault="002378FC" w:rsidP="002378FC">
      <w:pPr>
        <w:pStyle w:val="Sous-titre"/>
      </w:pPr>
      <w:bookmarkStart w:id="0" w:name="_Hlk82702775"/>
      <w:bookmarkStart w:id="1" w:name="_Hlk96002069"/>
      <w:r>
        <w:rPr>
          <w:noProof/>
          <w:lang w:eastAsia="fr-FR"/>
        </w:rPr>
        <w:drawing>
          <wp:inline distT="0" distB="0" distL="0" distR="0" wp14:anchorId="6FEC0A84" wp14:editId="38EF0B9E">
            <wp:extent cx="5772150" cy="552450"/>
            <wp:effectExtent l="0" t="0" r="0" b="0"/>
            <wp:docPr id="3" name="Image 3" descr="cid:image001.png@01D7AED1.DFB86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1.png@01D7AED1.DFB863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72150" cy="552450"/>
                    </a:xfrm>
                    <a:prstGeom prst="rect">
                      <a:avLst/>
                    </a:prstGeom>
                    <a:noFill/>
                    <a:ln>
                      <a:noFill/>
                    </a:ln>
                  </pic:spPr>
                </pic:pic>
              </a:graphicData>
            </a:graphic>
          </wp:inline>
        </w:drawing>
      </w:r>
    </w:p>
    <w:tbl>
      <w:tblPr>
        <w:tblW w:w="0" w:type="auto"/>
        <w:jc w:val="center"/>
        <w:tblCellMar>
          <w:left w:w="0" w:type="dxa"/>
          <w:right w:w="0" w:type="dxa"/>
        </w:tblCellMar>
        <w:tblLook w:val="04A0" w:firstRow="1" w:lastRow="0" w:firstColumn="1" w:lastColumn="0" w:noHBand="0" w:noVBand="1"/>
      </w:tblPr>
      <w:tblGrid>
        <w:gridCol w:w="4531"/>
        <w:gridCol w:w="4531"/>
      </w:tblGrid>
      <w:tr w:rsidR="002378FC" w14:paraId="1DFDF8F2" w14:textId="77777777" w:rsidTr="002378FC">
        <w:trPr>
          <w:jc w:val="center"/>
        </w:trPr>
        <w:tc>
          <w:tcPr>
            <w:tcW w:w="4531" w:type="dxa"/>
            <w:tcMar>
              <w:top w:w="0" w:type="dxa"/>
              <w:left w:w="108" w:type="dxa"/>
              <w:bottom w:w="0" w:type="dxa"/>
              <w:right w:w="108" w:type="dxa"/>
            </w:tcMar>
            <w:vAlign w:val="center"/>
            <w:hideMark/>
          </w:tcPr>
          <w:p w14:paraId="7FC2E66D" w14:textId="19B9DBA4" w:rsidR="002378FC" w:rsidRDefault="002378FC">
            <w:pPr>
              <w:pStyle w:val="Sansinterligne"/>
              <w:jc w:val="center"/>
              <w:rPr>
                <w:b/>
                <w:bCs/>
              </w:rPr>
            </w:pPr>
            <w:r>
              <w:rPr>
                <w:b/>
                <w:bCs/>
                <w:noProof/>
                <w:lang w:eastAsia="fr-FR"/>
              </w:rPr>
              <w:drawing>
                <wp:inline distT="0" distB="0" distL="0" distR="0" wp14:anchorId="0A2BD469" wp14:editId="4E806B9A">
                  <wp:extent cx="1085850" cy="1028700"/>
                  <wp:effectExtent l="0" t="0" r="0" b="0"/>
                  <wp:docPr id="1" name="Image 1" descr="cid:image007.png@01D7AED1.F8795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7.png@01D7AED1.F8795C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4531" w:type="dxa"/>
            <w:tcMar>
              <w:top w:w="0" w:type="dxa"/>
              <w:left w:w="108" w:type="dxa"/>
              <w:bottom w:w="0" w:type="dxa"/>
              <w:right w:w="108" w:type="dxa"/>
            </w:tcMar>
            <w:vAlign w:val="center"/>
            <w:hideMark/>
          </w:tcPr>
          <w:p w14:paraId="730EE898" w14:textId="27A77054" w:rsidR="002378FC" w:rsidRDefault="001835D3">
            <w:pPr>
              <w:pStyle w:val="Sansinterligne"/>
              <w:jc w:val="center"/>
              <w:rPr>
                <w:b/>
                <w:bCs/>
              </w:rPr>
            </w:pPr>
            <w:r w:rsidRPr="001835D3">
              <w:rPr>
                <w:b/>
                <w:bCs/>
                <w:noProof/>
              </w:rPr>
              <w:drawing>
                <wp:inline distT="0" distB="0" distL="0" distR="0" wp14:anchorId="3C248E50" wp14:editId="4EA9F420">
                  <wp:extent cx="1714500" cy="87787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0956" cy="886297"/>
                          </a:xfrm>
                          <a:prstGeom prst="rect">
                            <a:avLst/>
                          </a:prstGeom>
                          <a:noFill/>
                          <a:ln>
                            <a:noFill/>
                          </a:ln>
                        </pic:spPr>
                      </pic:pic>
                    </a:graphicData>
                  </a:graphic>
                </wp:inline>
              </w:drawing>
            </w:r>
          </w:p>
        </w:tc>
      </w:tr>
    </w:tbl>
    <w:p w14:paraId="3F0C55C5" w14:textId="77777777" w:rsidR="002378FC" w:rsidRDefault="002378FC" w:rsidP="002378FC">
      <w:pPr>
        <w:pStyle w:val="Sansinterligne"/>
        <w:rPr>
          <w:b/>
          <w:bCs/>
        </w:rPr>
      </w:pPr>
    </w:p>
    <w:p w14:paraId="5743475F" w14:textId="3C4A245A" w:rsidR="002378FC" w:rsidRDefault="002378FC" w:rsidP="002378FC">
      <w:pPr>
        <w:pStyle w:val="Sansinterligne"/>
        <w:jc w:val="right"/>
        <w:rPr>
          <w:rFonts w:ascii="Arial" w:hAnsi="Arial" w:cs="Arial"/>
        </w:rPr>
      </w:pPr>
      <w:r>
        <w:rPr>
          <w:rFonts w:ascii="Arial" w:hAnsi="Arial" w:cs="Arial"/>
        </w:rPr>
        <w:t>Le 17 février 2022</w:t>
      </w:r>
    </w:p>
    <w:p w14:paraId="4B15FB6D" w14:textId="77777777" w:rsidR="002378FC" w:rsidRDefault="002378FC" w:rsidP="002378FC">
      <w:pPr>
        <w:pStyle w:val="Sansinterligne"/>
        <w:jc w:val="right"/>
        <w:rPr>
          <w:rFonts w:ascii="Arial" w:hAnsi="Arial" w:cs="Arial"/>
        </w:rPr>
      </w:pPr>
    </w:p>
    <w:p w14:paraId="255B5E5D" w14:textId="77777777" w:rsidR="002378FC" w:rsidRDefault="002378FC" w:rsidP="002378FC">
      <w:pPr>
        <w:pStyle w:val="Sansinterligne"/>
        <w:jc w:val="both"/>
        <w:rPr>
          <w:rFonts w:ascii="Arial" w:hAnsi="Arial" w:cs="Arial"/>
          <w:b/>
          <w:bCs/>
        </w:rPr>
      </w:pPr>
    </w:p>
    <w:p w14:paraId="3D3FE07D" w14:textId="61750FB6" w:rsidR="002378FC" w:rsidRDefault="002378FC" w:rsidP="002378FC">
      <w:pPr>
        <w:pStyle w:val="Sansinterligne"/>
        <w:jc w:val="both"/>
        <w:rPr>
          <w:rFonts w:ascii="Arial" w:hAnsi="Arial" w:cs="Arial"/>
          <w:b/>
          <w:bCs/>
          <w:sz w:val="28"/>
          <w:szCs w:val="28"/>
        </w:rPr>
      </w:pPr>
      <w:r>
        <w:rPr>
          <w:rFonts w:ascii="Arial" w:hAnsi="Arial" w:cs="Arial"/>
          <w:b/>
          <w:bCs/>
          <w:sz w:val="28"/>
          <w:szCs w:val="28"/>
        </w:rPr>
        <w:t>La Région et l’</w:t>
      </w:r>
      <w:r w:rsidR="00983EBA">
        <w:rPr>
          <w:rFonts w:ascii="Arial" w:hAnsi="Arial" w:cs="Arial"/>
          <w:b/>
          <w:bCs/>
          <w:sz w:val="28"/>
          <w:szCs w:val="28"/>
        </w:rPr>
        <w:t>Inserm</w:t>
      </w:r>
      <w:r>
        <w:rPr>
          <w:rFonts w:ascii="Arial" w:hAnsi="Arial" w:cs="Arial"/>
          <w:b/>
          <w:bCs/>
          <w:sz w:val="28"/>
          <w:szCs w:val="28"/>
        </w:rPr>
        <w:t xml:space="preserve"> s’associent pour </w:t>
      </w:r>
      <w:r w:rsidR="00B53189">
        <w:rPr>
          <w:rFonts w:ascii="Arial" w:hAnsi="Arial" w:cs="Arial"/>
          <w:b/>
          <w:bCs/>
          <w:sz w:val="28"/>
          <w:szCs w:val="28"/>
        </w:rPr>
        <w:t>renforcer</w:t>
      </w:r>
      <w:r>
        <w:rPr>
          <w:rFonts w:ascii="Arial" w:hAnsi="Arial" w:cs="Arial"/>
          <w:b/>
          <w:bCs/>
          <w:sz w:val="28"/>
          <w:szCs w:val="28"/>
        </w:rPr>
        <w:t xml:space="preserve"> le développement de la recherche </w:t>
      </w:r>
      <w:r w:rsidR="000A6302">
        <w:rPr>
          <w:rFonts w:ascii="Arial" w:hAnsi="Arial" w:cs="Arial"/>
          <w:b/>
          <w:bCs/>
          <w:sz w:val="28"/>
          <w:szCs w:val="28"/>
        </w:rPr>
        <w:t>médicale</w:t>
      </w:r>
      <w:r>
        <w:rPr>
          <w:rFonts w:ascii="Arial" w:hAnsi="Arial" w:cs="Arial"/>
          <w:b/>
          <w:bCs/>
          <w:sz w:val="28"/>
          <w:szCs w:val="28"/>
        </w:rPr>
        <w:t xml:space="preserve"> en Normandie</w:t>
      </w:r>
    </w:p>
    <w:p w14:paraId="5693F8EB" w14:textId="77777777" w:rsidR="002378FC" w:rsidRDefault="002378FC" w:rsidP="002378FC">
      <w:pPr>
        <w:pStyle w:val="Sansinterligne"/>
        <w:jc w:val="both"/>
        <w:rPr>
          <w:rFonts w:ascii="Arial" w:hAnsi="Arial" w:cs="Arial"/>
        </w:rPr>
      </w:pPr>
    </w:p>
    <w:p w14:paraId="05C14397" w14:textId="1314E7BE" w:rsidR="002378FC" w:rsidRDefault="002378FC" w:rsidP="002378FC">
      <w:pPr>
        <w:pStyle w:val="Sansinterligne"/>
        <w:jc w:val="both"/>
        <w:rPr>
          <w:rFonts w:ascii="Arial" w:hAnsi="Arial" w:cs="Arial"/>
          <w:b/>
          <w:bCs/>
        </w:rPr>
      </w:pPr>
      <w:r>
        <w:rPr>
          <w:rFonts w:ascii="Arial" w:hAnsi="Arial" w:cs="Arial"/>
          <w:b/>
          <w:bCs/>
        </w:rPr>
        <w:t>Hervé Morin, Président de la Région Normandie, et</w:t>
      </w:r>
      <w:r w:rsidRPr="002378FC">
        <w:rPr>
          <w:rFonts w:ascii="Arial" w:hAnsi="Arial" w:cs="Arial"/>
          <w:b/>
          <w:bCs/>
        </w:rPr>
        <w:t xml:space="preserve"> le</w:t>
      </w:r>
      <w:r>
        <w:t xml:space="preserve"> </w:t>
      </w:r>
      <w:r w:rsidRPr="002378FC">
        <w:rPr>
          <w:rFonts w:ascii="Arial" w:hAnsi="Arial" w:cs="Arial"/>
          <w:b/>
          <w:bCs/>
        </w:rPr>
        <w:t>Dr Gilles Bloch, PDG de l’Institut National de la Santé et de la Recherche Médicale (I</w:t>
      </w:r>
      <w:r w:rsidR="00983EBA">
        <w:rPr>
          <w:rFonts w:ascii="Arial" w:hAnsi="Arial" w:cs="Arial"/>
          <w:b/>
          <w:bCs/>
        </w:rPr>
        <w:t>nserm</w:t>
      </w:r>
      <w:r w:rsidRPr="002378FC">
        <w:rPr>
          <w:rFonts w:ascii="Arial" w:hAnsi="Arial" w:cs="Arial"/>
          <w:b/>
          <w:bCs/>
        </w:rPr>
        <w:t>)</w:t>
      </w:r>
      <w:r>
        <w:rPr>
          <w:rFonts w:ascii="Arial" w:hAnsi="Arial" w:cs="Arial"/>
          <w:b/>
          <w:bCs/>
        </w:rPr>
        <w:t xml:space="preserve">, ont officiellement signé ce matin, au </w:t>
      </w:r>
      <w:r w:rsidR="00B53189">
        <w:rPr>
          <w:rFonts w:ascii="Arial" w:hAnsi="Arial" w:cs="Arial"/>
          <w:b/>
          <w:bCs/>
        </w:rPr>
        <w:t>C</w:t>
      </w:r>
      <w:r>
        <w:rPr>
          <w:rFonts w:ascii="Arial" w:hAnsi="Arial" w:cs="Arial"/>
          <w:b/>
          <w:bCs/>
        </w:rPr>
        <w:t xml:space="preserve">onseil régional à Rouen, un protocole de coopération en vue de soutenir et renforcer les capacités de recherche </w:t>
      </w:r>
      <w:r w:rsidR="000A6302">
        <w:rPr>
          <w:rFonts w:ascii="Arial" w:hAnsi="Arial" w:cs="Arial"/>
          <w:b/>
          <w:bCs/>
        </w:rPr>
        <w:t>médicale</w:t>
      </w:r>
      <w:r>
        <w:rPr>
          <w:rFonts w:ascii="Arial" w:hAnsi="Arial" w:cs="Arial"/>
          <w:b/>
          <w:bCs/>
        </w:rPr>
        <w:t xml:space="preserve"> sur le territoire normand.</w:t>
      </w:r>
    </w:p>
    <w:p w14:paraId="5D7CF889" w14:textId="36E68D37" w:rsidR="00A007EC" w:rsidRPr="000A6302" w:rsidRDefault="002378FC" w:rsidP="000A6302">
      <w:pPr>
        <w:rPr>
          <w:i/>
          <w:iCs/>
        </w:rPr>
      </w:pPr>
      <w:r w:rsidRPr="00A007EC">
        <w:rPr>
          <w:i/>
          <w:iCs/>
        </w:rPr>
        <w:t>« </w:t>
      </w:r>
      <w:r w:rsidR="00A007EC" w:rsidRPr="00A007EC">
        <w:rPr>
          <w:i/>
          <w:iCs/>
        </w:rPr>
        <w:t xml:space="preserve">Après la signature d’un protocole </w:t>
      </w:r>
      <w:r w:rsidR="00A007EC">
        <w:rPr>
          <w:i/>
          <w:iCs/>
        </w:rPr>
        <w:t xml:space="preserve">d’accord </w:t>
      </w:r>
      <w:r w:rsidR="00A007EC" w:rsidRPr="00A007EC">
        <w:rPr>
          <w:i/>
          <w:iCs/>
        </w:rPr>
        <w:t xml:space="preserve">en septembre 2021 avec le </w:t>
      </w:r>
      <w:r w:rsidR="00A007EC">
        <w:rPr>
          <w:i/>
          <w:iCs/>
        </w:rPr>
        <w:t xml:space="preserve">CNRS, </w:t>
      </w:r>
      <w:r w:rsidR="000A6302">
        <w:rPr>
          <w:i/>
          <w:iCs/>
        </w:rPr>
        <w:t>cet accord de</w:t>
      </w:r>
      <w:r w:rsidRPr="002378FC">
        <w:rPr>
          <w:i/>
          <w:iCs/>
        </w:rPr>
        <w:t xml:space="preserve"> </w:t>
      </w:r>
      <w:r>
        <w:rPr>
          <w:i/>
          <w:iCs/>
        </w:rPr>
        <w:t xml:space="preserve">coopération </w:t>
      </w:r>
      <w:r w:rsidR="00A007EC">
        <w:rPr>
          <w:i/>
          <w:iCs/>
        </w:rPr>
        <w:t>avec l’</w:t>
      </w:r>
      <w:r w:rsidR="00983EBA">
        <w:rPr>
          <w:i/>
          <w:iCs/>
        </w:rPr>
        <w:t>Inserm</w:t>
      </w:r>
      <w:r w:rsidR="00A007EC">
        <w:rPr>
          <w:i/>
          <w:iCs/>
        </w:rPr>
        <w:t xml:space="preserve"> </w:t>
      </w:r>
      <w:r w:rsidRPr="002378FC">
        <w:rPr>
          <w:i/>
          <w:iCs/>
        </w:rPr>
        <w:t xml:space="preserve">s’inscrit dans </w:t>
      </w:r>
      <w:r>
        <w:rPr>
          <w:i/>
          <w:iCs/>
        </w:rPr>
        <w:t xml:space="preserve">la volonté de la Région </w:t>
      </w:r>
      <w:r w:rsidRPr="002378FC">
        <w:rPr>
          <w:i/>
          <w:iCs/>
        </w:rPr>
        <w:t xml:space="preserve">de </w:t>
      </w:r>
      <w:r w:rsidR="00A007EC">
        <w:rPr>
          <w:i/>
          <w:iCs/>
        </w:rPr>
        <w:t>développer</w:t>
      </w:r>
      <w:r w:rsidRPr="002378FC">
        <w:rPr>
          <w:i/>
          <w:iCs/>
        </w:rPr>
        <w:t xml:space="preserve"> </w:t>
      </w:r>
      <w:r>
        <w:rPr>
          <w:i/>
          <w:iCs/>
        </w:rPr>
        <w:t>ses relations avec les</w:t>
      </w:r>
      <w:r w:rsidRPr="002378FC">
        <w:rPr>
          <w:i/>
          <w:iCs/>
        </w:rPr>
        <w:t xml:space="preserve"> grands organismes de recherche implantés en Normandie. </w:t>
      </w:r>
      <w:r w:rsidR="00A007EC" w:rsidRPr="00A007EC">
        <w:rPr>
          <w:i/>
          <w:iCs/>
        </w:rPr>
        <w:t xml:space="preserve">La mise en œuvre de ce protocole devrait permettre de renforcer l’excellence des équipes </w:t>
      </w:r>
      <w:r w:rsidR="00983EBA">
        <w:rPr>
          <w:i/>
          <w:iCs/>
        </w:rPr>
        <w:t>de l’</w:t>
      </w:r>
      <w:r w:rsidR="00A007EC" w:rsidRPr="00A007EC">
        <w:rPr>
          <w:i/>
          <w:iCs/>
        </w:rPr>
        <w:t>I</w:t>
      </w:r>
      <w:r w:rsidR="00983EBA">
        <w:rPr>
          <w:i/>
          <w:iCs/>
        </w:rPr>
        <w:t>nserm</w:t>
      </w:r>
      <w:r w:rsidR="00A007EC" w:rsidRPr="00A007EC">
        <w:rPr>
          <w:i/>
          <w:iCs/>
        </w:rPr>
        <w:t xml:space="preserve"> en région sur des sujets au cœur des enjeux du territoire</w:t>
      </w:r>
      <w:r w:rsidR="00A007EC">
        <w:rPr>
          <w:i/>
          <w:iCs/>
        </w:rPr>
        <w:t xml:space="preserve"> » </w:t>
      </w:r>
      <w:r w:rsidR="00A007EC" w:rsidRPr="00A007EC">
        <w:rPr>
          <w:iCs/>
        </w:rPr>
        <w:t>a déclaré Hervé Morin, Président de la Région Normandie</w:t>
      </w:r>
      <w:r w:rsidR="00A007EC">
        <w:rPr>
          <w:iCs/>
        </w:rPr>
        <w:t xml:space="preserve">. </w:t>
      </w:r>
    </w:p>
    <w:p w14:paraId="7AE9B3D9" w14:textId="63A9A06B" w:rsidR="001835D3" w:rsidRDefault="001835D3" w:rsidP="004043A2">
      <w:pPr>
        <w:pStyle w:val="Sansinterligne"/>
        <w:spacing w:after="120"/>
        <w:jc w:val="both"/>
        <w:rPr>
          <w:rFonts w:ascii="Arial" w:hAnsi="Arial" w:cs="Arial"/>
          <w:iCs/>
        </w:rPr>
      </w:pPr>
      <w:r w:rsidRPr="001835D3">
        <w:rPr>
          <w:rFonts w:ascii="Arial" w:hAnsi="Arial" w:cs="Arial"/>
          <w:i/>
          <w:iCs/>
        </w:rPr>
        <w:t>« Ce protocole de coopération avec la Région Normandie renforcera la puissance scientifique et fortifiera le potentiel de recherche des unités normandes. Ces unités mixtes de recherche sont au service de l’amélioration la santé humaine, travaillent à mettre au point les stratégies diagnostiques et thérapeutiques de demain au bénéfice de l’amélioration de la prise en charge des patients. Cet accord consolidera également la visibilité scientifique internationale de la recherche biomédicale normande »</w:t>
      </w:r>
      <w:r w:rsidRPr="001835D3">
        <w:rPr>
          <w:rFonts w:ascii="Arial" w:hAnsi="Arial" w:cs="Arial"/>
          <w:iCs/>
        </w:rPr>
        <w:t xml:space="preserve"> a ajouté Gilles Bloch, PDG de l’Inserm.  </w:t>
      </w:r>
    </w:p>
    <w:p w14:paraId="7D7C0687" w14:textId="77777777" w:rsidR="001835D3" w:rsidRDefault="001835D3" w:rsidP="001835D3">
      <w:pPr>
        <w:pStyle w:val="Sansinterligne"/>
        <w:jc w:val="both"/>
        <w:rPr>
          <w:rFonts w:ascii="Arial" w:hAnsi="Arial" w:cs="Arial"/>
          <w:iCs/>
        </w:rPr>
      </w:pPr>
    </w:p>
    <w:p w14:paraId="7D2315FF" w14:textId="07AFB61A" w:rsidR="004043A2" w:rsidRPr="004043A2" w:rsidRDefault="002378FC" w:rsidP="004043A2">
      <w:pPr>
        <w:pStyle w:val="Sansinterligne"/>
        <w:spacing w:after="120"/>
        <w:jc w:val="both"/>
        <w:rPr>
          <w:rFonts w:ascii="Arial" w:hAnsi="Arial" w:cs="Arial"/>
        </w:rPr>
      </w:pPr>
      <w:r>
        <w:rPr>
          <w:rFonts w:ascii="Arial" w:hAnsi="Arial" w:cs="Arial"/>
        </w:rPr>
        <w:t>Dans le cadre de cet accord d’une durée</w:t>
      </w:r>
      <w:r w:rsidR="000E4034">
        <w:rPr>
          <w:rFonts w:ascii="Arial" w:hAnsi="Arial" w:cs="Arial"/>
        </w:rPr>
        <w:t xml:space="preserve"> </w:t>
      </w:r>
      <w:r w:rsidR="00B53189">
        <w:rPr>
          <w:rFonts w:ascii="Arial" w:hAnsi="Arial" w:cs="Arial"/>
        </w:rPr>
        <w:t xml:space="preserve">de </w:t>
      </w:r>
      <w:r w:rsidR="004949DC">
        <w:rPr>
          <w:rFonts w:ascii="Arial" w:hAnsi="Arial" w:cs="Arial"/>
        </w:rPr>
        <w:t xml:space="preserve">six </w:t>
      </w:r>
      <w:r>
        <w:rPr>
          <w:rFonts w:ascii="Arial" w:hAnsi="Arial" w:cs="Arial"/>
        </w:rPr>
        <w:t>ans, la Région et l’I</w:t>
      </w:r>
      <w:r w:rsidR="004043A2">
        <w:rPr>
          <w:rFonts w:ascii="Arial" w:hAnsi="Arial" w:cs="Arial"/>
        </w:rPr>
        <w:t>nserm</w:t>
      </w:r>
      <w:r>
        <w:rPr>
          <w:rFonts w:ascii="Arial" w:hAnsi="Arial" w:cs="Arial"/>
        </w:rPr>
        <w:t xml:space="preserve"> s’engagent </w:t>
      </w:r>
      <w:r w:rsidR="00B53189">
        <w:rPr>
          <w:rFonts w:ascii="Arial" w:hAnsi="Arial" w:cs="Arial"/>
        </w:rPr>
        <w:t xml:space="preserve">ainsi </w:t>
      </w:r>
      <w:r w:rsidR="000E4034" w:rsidRPr="000E4034">
        <w:rPr>
          <w:rFonts w:ascii="Arial" w:hAnsi="Arial" w:cs="Arial"/>
        </w:rPr>
        <w:t xml:space="preserve">à </w:t>
      </w:r>
      <w:r w:rsidR="000A6302" w:rsidRPr="000E4034">
        <w:rPr>
          <w:rFonts w:ascii="Arial" w:hAnsi="Arial" w:cs="Arial"/>
        </w:rPr>
        <w:t xml:space="preserve">coopérer </w:t>
      </w:r>
      <w:r w:rsidR="004043A2">
        <w:rPr>
          <w:rFonts w:ascii="Arial" w:hAnsi="Arial" w:cs="Arial"/>
        </w:rPr>
        <w:t>afin de renforcer le potentiel de la</w:t>
      </w:r>
      <w:r w:rsidR="004043A2" w:rsidRPr="004043A2">
        <w:rPr>
          <w:rFonts w:ascii="Arial" w:hAnsi="Arial" w:cs="Arial"/>
        </w:rPr>
        <w:t xml:space="preserve"> recherche </w:t>
      </w:r>
      <w:r w:rsidR="004043A2">
        <w:rPr>
          <w:rFonts w:ascii="Arial" w:hAnsi="Arial" w:cs="Arial"/>
        </w:rPr>
        <w:t xml:space="preserve">médicale </w:t>
      </w:r>
      <w:r w:rsidR="004043A2" w:rsidRPr="004043A2">
        <w:rPr>
          <w:rFonts w:ascii="Arial" w:hAnsi="Arial" w:cs="Arial"/>
        </w:rPr>
        <w:t>sur les thématiques</w:t>
      </w:r>
      <w:r w:rsidR="004043A2">
        <w:rPr>
          <w:rFonts w:ascii="Arial" w:hAnsi="Arial" w:cs="Arial"/>
        </w:rPr>
        <w:t xml:space="preserve"> prioritaires</w:t>
      </w:r>
      <w:r w:rsidR="004043A2" w:rsidRPr="004043A2">
        <w:rPr>
          <w:rFonts w:ascii="Arial" w:hAnsi="Arial" w:cs="Arial"/>
        </w:rPr>
        <w:t xml:space="preserve"> suivantes : </w:t>
      </w:r>
    </w:p>
    <w:p w14:paraId="4A04E47C" w14:textId="6EC0D998" w:rsidR="004043A2" w:rsidRDefault="004043A2" w:rsidP="004043A2">
      <w:pPr>
        <w:pStyle w:val="Sansinterligne"/>
        <w:numPr>
          <w:ilvl w:val="0"/>
          <w:numId w:val="17"/>
        </w:numPr>
        <w:ind w:left="714" w:hanging="357"/>
        <w:rPr>
          <w:rFonts w:ascii="Arial" w:hAnsi="Arial" w:cs="Arial"/>
        </w:rPr>
      </w:pPr>
      <w:r w:rsidRPr="004043A2">
        <w:rPr>
          <w:rFonts w:ascii="Arial" w:hAnsi="Arial" w:cs="Arial"/>
        </w:rPr>
        <w:t>Cardiologi</w:t>
      </w:r>
      <w:r>
        <w:rPr>
          <w:rFonts w:ascii="Arial" w:hAnsi="Arial" w:cs="Arial"/>
        </w:rPr>
        <w:t>e</w:t>
      </w:r>
    </w:p>
    <w:p w14:paraId="4A828E45" w14:textId="3DDBA89B" w:rsidR="004043A2" w:rsidRDefault="004043A2" w:rsidP="004043A2">
      <w:pPr>
        <w:pStyle w:val="Sansinterligne"/>
        <w:numPr>
          <w:ilvl w:val="0"/>
          <w:numId w:val="17"/>
        </w:numPr>
        <w:ind w:left="714" w:hanging="357"/>
        <w:rPr>
          <w:rFonts w:ascii="Arial" w:hAnsi="Arial" w:cs="Arial"/>
        </w:rPr>
      </w:pPr>
      <w:r w:rsidRPr="004043A2">
        <w:rPr>
          <w:rFonts w:ascii="Arial" w:hAnsi="Arial" w:cs="Arial"/>
        </w:rPr>
        <w:t>Cancérologie</w:t>
      </w:r>
    </w:p>
    <w:p w14:paraId="686209DD" w14:textId="77777777" w:rsidR="004043A2" w:rsidRDefault="004043A2" w:rsidP="004043A2">
      <w:pPr>
        <w:pStyle w:val="Sansinterligne"/>
        <w:numPr>
          <w:ilvl w:val="0"/>
          <w:numId w:val="17"/>
        </w:numPr>
        <w:ind w:left="714" w:hanging="357"/>
        <w:rPr>
          <w:rFonts w:ascii="Arial" w:hAnsi="Arial" w:cs="Arial"/>
        </w:rPr>
      </w:pPr>
      <w:r w:rsidRPr="004043A2">
        <w:rPr>
          <w:rFonts w:ascii="Arial" w:hAnsi="Arial" w:cs="Arial"/>
        </w:rPr>
        <w:t xml:space="preserve">Génomique, </w:t>
      </w:r>
    </w:p>
    <w:p w14:paraId="74A272D5" w14:textId="77777777" w:rsidR="004043A2" w:rsidRDefault="004043A2" w:rsidP="004043A2">
      <w:pPr>
        <w:pStyle w:val="Sansinterligne"/>
        <w:numPr>
          <w:ilvl w:val="0"/>
          <w:numId w:val="17"/>
        </w:numPr>
        <w:ind w:left="714" w:hanging="357"/>
        <w:rPr>
          <w:rFonts w:ascii="Arial" w:hAnsi="Arial" w:cs="Arial"/>
        </w:rPr>
      </w:pPr>
      <w:r w:rsidRPr="004043A2">
        <w:rPr>
          <w:rFonts w:ascii="Arial" w:hAnsi="Arial" w:cs="Arial"/>
        </w:rPr>
        <w:t xml:space="preserve">Neurosciences, </w:t>
      </w:r>
    </w:p>
    <w:p w14:paraId="7B3F137D" w14:textId="77777777" w:rsidR="004043A2" w:rsidRDefault="004043A2" w:rsidP="004043A2">
      <w:pPr>
        <w:pStyle w:val="Sansinterligne"/>
        <w:numPr>
          <w:ilvl w:val="0"/>
          <w:numId w:val="17"/>
        </w:numPr>
        <w:ind w:left="714" w:hanging="357"/>
        <w:rPr>
          <w:rFonts w:ascii="Arial" w:hAnsi="Arial" w:cs="Arial"/>
        </w:rPr>
      </w:pPr>
      <w:r>
        <w:rPr>
          <w:rFonts w:ascii="Arial" w:hAnsi="Arial" w:cs="Arial"/>
        </w:rPr>
        <w:t>I</w:t>
      </w:r>
      <w:r w:rsidRPr="004043A2">
        <w:rPr>
          <w:rFonts w:ascii="Arial" w:hAnsi="Arial" w:cs="Arial"/>
        </w:rPr>
        <w:t>magerie médicale</w:t>
      </w:r>
    </w:p>
    <w:p w14:paraId="6F85696B" w14:textId="1915C24A" w:rsidR="004043A2" w:rsidRDefault="004043A2" w:rsidP="004043A2">
      <w:pPr>
        <w:pStyle w:val="Sansinterligne"/>
        <w:numPr>
          <w:ilvl w:val="0"/>
          <w:numId w:val="17"/>
        </w:numPr>
        <w:ind w:left="714" w:hanging="357"/>
        <w:rPr>
          <w:rFonts w:ascii="Arial" w:hAnsi="Arial" w:cs="Arial"/>
        </w:rPr>
      </w:pPr>
      <w:r w:rsidRPr="004043A2">
        <w:rPr>
          <w:rFonts w:ascii="Arial" w:hAnsi="Arial" w:cs="Arial"/>
        </w:rPr>
        <w:t xml:space="preserve">Immunologie </w:t>
      </w:r>
    </w:p>
    <w:p w14:paraId="72CB5298" w14:textId="77777777" w:rsidR="004043A2" w:rsidRPr="004043A2" w:rsidRDefault="004043A2" w:rsidP="004043A2">
      <w:pPr>
        <w:pStyle w:val="Sansinterligne"/>
        <w:ind w:left="714"/>
        <w:rPr>
          <w:rFonts w:ascii="Arial" w:hAnsi="Arial" w:cs="Arial"/>
        </w:rPr>
      </w:pPr>
    </w:p>
    <w:p w14:paraId="684005E5" w14:textId="3D790BB6" w:rsidR="00C44E0B" w:rsidRPr="004043A2" w:rsidRDefault="00B53189" w:rsidP="004043A2">
      <w:pPr>
        <w:pStyle w:val="Sansinterligne"/>
        <w:spacing w:after="120"/>
        <w:jc w:val="both"/>
        <w:rPr>
          <w:rFonts w:ascii="Arial" w:hAnsi="Arial" w:cs="Arial"/>
        </w:rPr>
      </w:pPr>
      <w:r>
        <w:rPr>
          <w:rFonts w:ascii="Arial" w:hAnsi="Arial" w:cs="Arial"/>
        </w:rPr>
        <w:t>Dans ce cadre, l</w:t>
      </w:r>
      <w:r w:rsidR="004043A2" w:rsidRPr="004043A2">
        <w:rPr>
          <w:rFonts w:ascii="Arial" w:hAnsi="Arial" w:cs="Arial"/>
        </w:rPr>
        <w:t xml:space="preserve">a Région et l’Inserm </w:t>
      </w:r>
      <w:r w:rsidR="004043A2">
        <w:rPr>
          <w:rFonts w:ascii="Arial" w:hAnsi="Arial" w:cs="Arial"/>
        </w:rPr>
        <w:t xml:space="preserve">engageront ou poursuivront </w:t>
      </w:r>
      <w:r>
        <w:rPr>
          <w:rFonts w:ascii="Arial" w:hAnsi="Arial" w:cs="Arial"/>
        </w:rPr>
        <w:t xml:space="preserve">de nombreuses </w:t>
      </w:r>
      <w:r w:rsidR="004043A2" w:rsidRPr="004043A2">
        <w:rPr>
          <w:rFonts w:ascii="Arial" w:hAnsi="Arial" w:cs="Arial"/>
        </w:rPr>
        <w:t xml:space="preserve">actions communes </w:t>
      </w:r>
      <w:r w:rsidR="004043A2">
        <w:rPr>
          <w:rFonts w:ascii="Arial" w:hAnsi="Arial" w:cs="Arial"/>
        </w:rPr>
        <w:t>parmi lesquelles</w:t>
      </w:r>
      <w:r w:rsidR="004043A2" w:rsidRPr="004043A2">
        <w:rPr>
          <w:rFonts w:ascii="Arial" w:hAnsi="Arial" w:cs="Arial"/>
        </w:rPr>
        <w:t xml:space="preserve"> :</w:t>
      </w:r>
      <w:r w:rsidR="009D4907" w:rsidRPr="004043A2">
        <w:rPr>
          <w:rFonts w:ascii="Arial" w:hAnsi="Arial" w:cs="Arial"/>
        </w:rPr>
        <w:t xml:space="preserve"> </w:t>
      </w:r>
    </w:p>
    <w:p w14:paraId="7B2F0638" w14:textId="77777777" w:rsidR="00C44E0B" w:rsidRPr="004043A2" w:rsidRDefault="00C44E0B" w:rsidP="00C44E0B">
      <w:pPr>
        <w:pStyle w:val="Standard"/>
        <w:numPr>
          <w:ilvl w:val="0"/>
          <w:numId w:val="10"/>
        </w:numPr>
        <w:spacing w:before="60"/>
        <w:ind w:left="709" w:hanging="283"/>
        <w:jc w:val="both"/>
        <w:rPr>
          <w:kern w:val="0"/>
          <w:szCs w:val="20"/>
          <w:lang w:eastAsia="fr-FR"/>
        </w:rPr>
      </w:pPr>
      <w:r w:rsidRPr="004043A2">
        <w:rPr>
          <w:kern w:val="0"/>
          <w:szCs w:val="20"/>
          <w:lang w:eastAsia="fr-FR"/>
        </w:rPr>
        <w:t>Le financement ou cofinancement d’opérations ou de programmes pouvant bénéficier soit à des structures de l’Inserm, soit à des structures associant l’Inserm, soit à des laboratoires ou équipes reconnues par l’Inserm ;</w:t>
      </w:r>
    </w:p>
    <w:p w14:paraId="560E7EFD" w14:textId="234430C5" w:rsidR="00C44E0B" w:rsidRPr="004043A2" w:rsidRDefault="00C44E0B" w:rsidP="00C44E0B">
      <w:pPr>
        <w:pStyle w:val="Standard"/>
        <w:numPr>
          <w:ilvl w:val="0"/>
          <w:numId w:val="10"/>
        </w:numPr>
        <w:spacing w:before="60"/>
        <w:ind w:left="709" w:hanging="283"/>
        <w:jc w:val="both"/>
        <w:rPr>
          <w:kern w:val="0"/>
          <w:szCs w:val="20"/>
          <w:lang w:eastAsia="fr-FR"/>
        </w:rPr>
      </w:pPr>
      <w:r w:rsidRPr="004043A2">
        <w:rPr>
          <w:kern w:val="0"/>
          <w:szCs w:val="20"/>
          <w:lang w:eastAsia="fr-FR"/>
        </w:rPr>
        <w:lastRenderedPageBreak/>
        <w:t xml:space="preserve">Le soutien </w:t>
      </w:r>
      <w:r w:rsidR="00B53189">
        <w:rPr>
          <w:kern w:val="0"/>
          <w:szCs w:val="20"/>
          <w:lang w:eastAsia="fr-FR"/>
        </w:rPr>
        <w:t xml:space="preserve">à </w:t>
      </w:r>
      <w:r w:rsidRPr="004043A2">
        <w:rPr>
          <w:kern w:val="0"/>
          <w:szCs w:val="20"/>
          <w:lang w:eastAsia="fr-FR"/>
        </w:rPr>
        <w:t xml:space="preserve">la formation </w:t>
      </w:r>
      <w:r w:rsidRPr="00B53189">
        <w:rPr>
          <w:i/>
          <w:kern w:val="0"/>
          <w:szCs w:val="20"/>
          <w:lang w:eastAsia="fr-FR"/>
        </w:rPr>
        <w:t xml:space="preserve">à </w:t>
      </w:r>
      <w:r w:rsidRPr="004043A2">
        <w:rPr>
          <w:kern w:val="0"/>
          <w:szCs w:val="20"/>
          <w:lang w:eastAsia="fr-FR"/>
        </w:rPr>
        <w:t xml:space="preserve">et </w:t>
      </w:r>
      <w:r w:rsidRPr="00B53189">
        <w:rPr>
          <w:i/>
          <w:kern w:val="0"/>
          <w:szCs w:val="20"/>
          <w:lang w:eastAsia="fr-FR"/>
        </w:rPr>
        <w:t>par</w:t>
      </w:r>
      <w:r w:rsidRPr="004043A2">
        <w:rPr>
          <w:kern w:val="0"/>
          <w:szCs w:val="20"/>
          <w:lang w:eastAsia="fr-FR"/>
        </w:rPr>
        <w:t xml:space="preserve"> la recherche dans les domaines de la biologie et de la santé</w:t>
      </w:r>
      <w:r w:rsidR="00B53189">
        <w:rPr>
          <w:kern w:val="0"/>
          <w:szCs w:val="20"/>
          <w:lang w:eastAsia="fr-FR"/>
        </w:rPr>
        <w:t xml:space="preserve"> à travers le </w:t>
      </w:r>
      <w:r w:rsidRPr="004043A2">
        <w:rPr>
          <w:kern w:val="0"/>
          <w:szCs w:val="20"/>
          <w:lang w:eastAsia="fr-FR"/>
        </w:rPr>
        <w:t xml:space="preserve">cofinancement de thèses Région-Inserm, l’étude de modalités conjointes d’accompagnement de </w:t>
      </w:r>
      <w:proofErr w:type="spellStart"/>
      <w:r w:rsidRPr="004043A2">
        <w:rPr>
          <w:kern w:val="0"/>
          <w:szCs w:val="20"/>
          <w:lang w:eastAsia="fr-FR"/>
        </w:rPr>
        <w:t>post-doctorants</w:t>
      </w:r>
      <w:proofErr w:type="spellEnd"/>
      <w:r w:rsidRPr="004043A2">
        <w:rPr>
          <w:kern w:val="0"/>
          <w:szCs w:val="20"/>
          <w:lang w:eastAsia="fr-FR"/>
        </w:rPr>
        <w:t>, des postes d’accueil de chercheurs et des programmes ATIP-Avenir ;</w:t>
      </w:r>
    </w:p>
    <w:p w14:paraId="052A9870" w14:textId="77777777" w:rsidR="00C44E0B" w:rsidRPr="004043A2" w:rsidRDefault="00C44E0B" w:rsidP="00C44E0B">
      <w:pPr>
        <w:pStyle w:val="Standard"/>
        <w:numPr>
          <w:ilvl w:val="0"/>
          <w:numId w:val="10"/>
        </w:numPr>
        <w:spacing w:before="60"/>
        <w:ind w:left="709" w:hanging="283"/>
        <w:jc w:val="both"/>
        <w:rPr>
          <w:kern w:val="0"/>
          <w:szCs w:val="20"/>
          <w:lang w:eastAsia="fr-FR"/>
        </w:rPr>
      </w:pPr>
      <w:r w:rsidRPr="004043A2">
        <w:rPr>
          <w:kern w:val="0"/>
          <w:szCs w:val="20"/>
          <w:lang w:eastAsia="fr-FR"/>
        </w:rPr>
        <w:t>Le co-financement d’équipements au sein des structures dont l’Inserm est membre ou tutelle ;</w:t>
      </w:r>
    </w:p>
    <w:p w14:paraId="4E26C313" w14:textId="16E5F063" w:rsidR="00C44E0B" w:rsidRPr="004043A2" w:rsidRDefault="00C44E0B" w:rsidP="00C44E0B">
      <w:pPr>
        <w:pStyle w:val="Standard"/>
        <w:numPr>
          <w:ilvl w:val="0"/>
          <w:numId w:val="10"/>
        </w:numPr>
        <w:spacing w:before="60"/>
        <w:ind w:left="709" w:hanging="283"/>
        <w:jc w:val="both"/>
        <w:rPr>
          <w:kern w:val="0"/>
          <w:szCs w:val="20"/>
          <w:lang w:eastAsia="fr-FR"/>
        </w:rPr>
      </w:pPr>
      <w:r w:rsidRPr="004043A2">
        <w:rPr>
          <w:kern w:val="0"/>
          <w:szCs w:val="20"/>
          <w:lang w:eastAsia="fr-FR"/>
        </w:rPr>
        <w:t>La contribution de l’Inserm dans l’élaboration de</w:t>
      </w:r>
      <w:r w:rsidR="00B53189">
        <w:rPr>
          <w:kern w:val="0"/>
          <w:szCs w:val="20"/>
          <w:lang w:eastAsia="fr-FR"/>
        </w:rPr>
        <w:t>s</w:t>
      </w:r>
      <w:r w:rsidRPr="004043A2">
        <w:rPr>
          <w:kern w:val="0"/>
          <w:szCs w:val="20"/>
          <w:lang w:eastAsia="fr-FR"/>
        </w:rPr>
        <w:t xml:space="preserve"> futures stratégies régionales (SRESRI…) ;</w:t>
      </w:r>
    </w:p>
    <w:p w14:paraId="40168732" w14:textId="77777777" w:rsidR="00C44E0B" w:rsidRPr="004043A2" w:rsidRDefault="00C44E0B" w:rsidP="00C44E0B">
      <w:pPr>
        <w:pStyle w:val="Standard"/>
        <w:numPr>
          <w:ilvl w:val="0"/>
          <w:numId w:val="10"/>
        </w:numPr>
        <w:spacing w:before="60"/>
        <w:ind w:left="709" w:hanging="284"/>
        <w:jc w:val="both"/>
        <w:rPr>
          <w:kern w:val="0"/>
          <w:szCs w:val="20"/>
          <w:lang w:eastAsia="fr-FR"/>
        </w:rPr>
      </w:pPr>
      <w:r w:rsidRPr="004043A2">
        <w:rPr>
          <w:kern w:val="0"/>
          <w:szCs w:val="20"/>
          <w:lang w:eastAsia="fr-FR"/>
        </w:rPr>
        <w:t>L’appui aux politiques publiques et à l’expertise en matière de recherche et de formations en santé.</w:t>
      </w:r>
    </w:p>
    <w:p w14:paraId="3B4D5418" w14:textId="77777777" w:rsidR="00C44E0B" w:rsidRDefault="00C44E0B" w:rsidP="004043A2">
      <w:pPr>
        <w:pStyle w:val="Standard"/>
        <w:jc w:val="both"/>
        <w:rPr>
          <w:rFonts w:ascii="Calibri" w:hAnsi="Calibri" w:cs="Calibri"/>
        </w:rPr>
      </w:pPr>
    </w:p>
    <w:p w14:paraId="209FE8C6" w14:textId="4503123B" w:rsidR="00C44E0B" w:rsidRPr="004043A2" w:rsidRDefault="00C44E0B" w:rsidP="004043A2">
      <w:pPr>
        <w:pStyle w:val="Standard"/>
        <w:jc w:val="both"/>
        <w:rPr>
          <w:kern w:val="0"/>
          <w:szCs w:val="20"/>
          <w:lang w:eastAsia="fr-FR"/>
        </w:rPr>
      </w:pPr>
      <w:r w:rsidRPr="004043A2">
        <w:rPr>
          <w:kern w:val="0"/>
          <w:szCs w:val="20"/>
          <w:lang w:eastAsia="fr-FR"/>
        </w:rPr>
        <w:t>La collaboration pourra également appuyer les dynamiques d’internationalisation des unités</w:t>
      </w:r>
      <w:r w:rsidR="00B53189">
        <w:rPr>
          <w:kern w:val="0"/>
          <w:szCs w:val="20"/>
          <w:lang w:eastAsia="fr-FR"/>
        </w:rPr>
        <w:t xml:space="preserve"> de recherche</w:t>
      </w:r>
      <w:r w:rsidRPr="004043A2">
        <w:rPr>
          <w:kern w:val="0"/>
          <w:szCs w:val="20"/>
          <w:lang w:eastAsia="fr-FR"/>
        </w:rPr>
        <w:t xml:space="preserve"> </w:t>
      </w:r>
      <w:r w:rsidR="00B53189">
        <w:rPr>
          <w:kern w:val="0"/>
          <w:szCs w:val="20"/>
          <w:lang w:eastAsia="fr-FR"/>
        </w:rPr>
        <w:t>dans les</w:t>
      </w:r>
      <w:r w:rsidRPr="004043A2">
        <w:rPr>
          <w:kern w:val="0"/>
          <w:szCs w:val="20"/>
          <w:lang w:eastAsia="fr-FR"/>
        </w:rPr>
        <w:t xml:space="preserve"> appels à projets européens ou </w:t>
      </w:r>
      <w:r w:rsidR="00B53189">
        <w:rPr>
          <w:kern w:val="0"/>
          <w:szCs w:val="20"/>
          <w:lang w:eastAsia="fr-FR"/>
        </w:rPr>
        <w:t>les</w:t>
      </w:r>
      <w:r w:rsidRPr="004043A2">
        <w:rPr>
          <w:kern w:val="0"/>
          <w:szCs w:val="20"/>
          <w:lang w:eastAsia="fr-FR"/>
        </w:rPr>
        <w:t xml:space="preserve"> partenariats internationau</w:t>
      </w:r>
      <w:r w:rsidR="00B53189">
        <w:rPr>
          <w:kern w:val="0"/>
          <w:szCs w:val="20"/>
          <w:lang w:eastAsia="fr-FR"/>
        </w:rPr>
        <w:t>x</w:t>
      </w:r>
      <w:r w:rsidRPr="004043A2">
        <w:rPr>
          <w:kern w:val="0"/>
          <w:szCs w:val="20"/>
          <w:lang w:eastAsia="fr-FR"/>
        </w:rPr>
        <w:t xml:space="preserve">. </w:t>
      </w:r>
    </w:p>
    <w:p w14:paraId="27EB5160" w14:textId="77777777" w:rsidR="004043A2" w:rsidRPr="004043A2" w:rsidRDefault="004043A2" w:rsidP="004043A2">
      <w:pPr>
        <w:pStyle w:val="Standard"/>
        <w:jc w:val="both"/>
        <w:rPr>
          <w:kern w:val="0"/>
          <w:szCs w:val="20"/>
          <w:lang w:eastAsia="fr-FR"/>
        </w:rPr>
      </w:pPr>
    </w:p>
    <w:p w14:paraId="31B1B56B" w14:textId="49CB066F" w:rsidR="00C44E0B" w:rsidRPr="004043A2" w:rsidRDefault="00C44E0B" w:rsidP="004043A2">
      <w:pPr>
        <w:pStyle w:val="Standard"/>
        <w:jc w:val="both"/>
        <w:rPr>
          <w:kern w:val="0"/>
          <w:szCs w:val="20"/>
          <w:lang w:eastAsia="fr-FR"/>
        </w:rPr>
      </w:pPr>
      <w:r w:rsidRPr="004043A2">
        <w:rPr>
          <w:kern w:val="0"/>
          <w:szCs w:val="20"/>
          <w:lang w:eastAsia="fr-FR"/>
        </w:rPr>
        <w:t>Cette collaboration visera aussi</w:t>
      </w:r>
      <w:r w:rsidR="00B53189">
        <w:rPr>
          <w:kern w:val="0"/>
          <w:szCs w:val="20"/>
          <w:lang w:eastAsia="fr-FR"/>
        </w:rPr>
        <w:t xml:space="preserve"> à</w:t>
      </w:r>
      <w:r w:rsidRPr="004043A2">
        <w:rPr>
          <w:kern w:val="0"/>
          <w:szCs w:val="20"/>
          <w:lang w:eastAsia="fr-FR"/>
        </w:rPr>
        <w:t xml:space="preserve"> soutenir les stratégies de pré-maturation et de rupture des unités Inserm.</w:t>
      </w:r>
    </w:p>
    <w:p w14:paraId="7D76C653" w14:textId="77777777" w:rsidR="004043A2" w:rsidRPr="004043A2" w:rsidRDefault="004043A2" w:rsidP="004043A2">
      <w:pPr>
        <w:pStyle w:val="Standard"/>
        <w:jc w:val="both"/>
        <w:rPr>
          <w:kern w:val="0"/>
          <w:szCs w:val="20"/>
          <w:lang w:eastAsia="fr-FR"/>
        </w:rPr>
      </w:pPr>
    </w:p>
    <w:p w14:paraId="09899A46" w14:textId="4652359B" w:rsidR="00C44E0B" w:rsidRDefault="00C44E0B" w:rsidP="004043A2">
      <w:pPr>
        <w:pStyle w:val="Standard"/>
        <w:jc w:val="both"/>
        <w:rPr>
          <w:kern w:val="0"/>
          <w:szCs w:val="20"/>
          <w:lang w:eastAsia="fr-FR"/>
        </w:rPr>
      </w:pPr>
      <w:r w:rsidRPr="004043A2">
        <w:rPr>
          <w:kern w:val="0"/>
          <w:szCs w:val="20"/>
          <w:lang w:eastAsia="fr-FR"/>
        </w:rPr>
        <w:t xml:space="preserve">Enfin, un appui de l’Inserm pourrait être sollicité pour certains appels d’offre très structurants pour le territoire comme </w:t>
      </w:r>
      <w:r w:rsidR="004949DC">
        <w:rPr>
          <w:kern w:val="0"/>
          <w:szCs w:val="20"/>
          <w:lang w:eastAsia="fr-FR"/>
        </w:rPr>
        <w:t>certains appels à projets du</w:t>
      </w:r>
      <w:r w:rsidRPr="004043A2">
        <w:rPr>
          <w:kern w:val="0"/>
          <w:szCs w:val="20"/>
          <w:lang w:eastAsia="fr-FR"/>
        </w:rPr>
        <w:t xml:space="preserve"> </w:t>
      </w:r>
      <w:r w:rsidR="00B53189">
        <w:rPr>
          <w:kern w:val="0"/>
          <w:szCs w:val="20"/>
          <w:lang w:eastAsia="fr-FR"/>
        </w:rPr>
        <w:t>Plan d’Investissement d’Avenir (PIA)</w:t>
      </w:r>
      <w:r w:rsidRPr="004043A2">
        <w:rPr>
          <w:kern w:val="0"/>
          <w:szCs w:val="20"/>
          <w:lang w:eastAsia="fr-FR"/>
        </w:rPr>
        <w:t>.</w:t>
      </w:r>
    </w:p>
    <w:p w14:paraId="516EAFFC" w14:textId="466C9574" w:rsidR="00C44E0B" w:rsidRDefault="00C44E0B" w:rsidP="002378FC">
      <w:pPr>
        <w:pStyle w:val="Sansinterligne"/>
        <w:spacing w:after="120"/>
        <w:jc w:val="both"/>
        <w:rPr>
          <w:rFonts w:ascii="Arial" w:hAnsi="Arial" w:cs="Arial"/>
        </w:rPr>
      </w:pPr>
    </w:p>
    <w:tbl>
      <w:tblPr>
        <w:tblStyle w:val="Grilledutableau"/>
        <w:tblW w:w="0" w:type="auto"/>
        <w:tblLook w:val="04A0" w:firstRow="1" w:lastRow="0" w:firstColumn="1" w:lastColumn="0" w:noHBand="0" w:noVBand="1"/>
      </w:tblPr>
      <w:tblGrid>
        <w:gridCol w:w="9062"/>
      </w:tblGrid>
      <w:tr w:rsidR="00B53189" w14:paraId="73501B9C" w14:textId="77777777" w:rsidTr="00B53189">
        <w:tc>
          <w:tcPr>
            <w:tcW w:w="9062" w:type="dxa"/>
          </w:tcPr>
          <w:p w14:paraId="209081B4" w14:textId="77777777" w:rsidR="00B53189" w:rsidRPr="00B53189" w:rsidRDefault="00B53189" w:rsidP="00B53189">
            <w:pPr>
              <w:pStyle w:val="Sansinterligne"/>
              <w:spacing w:after="120"/>
              <w:jc w:val="both"/>
              <w:rPr>
                <w:rFonts w:ascii="Arial" w:hAnsi="Arial" w:cs="Arial"/>
                <w:b/>
                <w:sz w:val="18"/>
                <w:u w:val="single"/>
              </w:rPr>
            </w:pPr>
          </w:p>
          <w:p w14:paraId="7B709B54" w14:textId="6F54BAD5" w:rsidR="00B53189" w:rsidRPr="00B53189" w:rsidRDefault="00B53189" w:rsidP="00B53189">
            <w:pPr>
              <w:pStyle w:val="Sansinterligne"/>
              <w:spacing w:after="120"/>
              <w:jc w:val="both"/>
              <w:rPr>
                <w:rFonts w:ascii="Arial" w:hAnsi="Arial" w:cs="Arial"/>
                <w:b/>
                <w:sz w:val="20"/>
              </w:rPr>
            </w:pPr>
            <w:r w:rsidRPr="00B53189">
              <w:rPr>
                <w:rFonts w:ascii="Arial" w:hAnsi="Arial" w:cs="Arial"/>
                <w:b/>
                <w:sz w:val="20"/>
                <w:u w:val="single"/>
              </w:rPr>
              <w:t>A propos de l’Inserm</w:t>
            </w:r>
            <w:r w:rsidRPr="00B53189">
              <w:rPr>
                <w:rFonts w:ascii="Arial" w:hAnsi="Arial" w:cs="Arial"/>
                <w:b/>
                <w:sz w:val="20"/>
              </w:rPr>
              <w:t xml:space="preserve"> : </w:t>
            </w:r>
          </w:p>
          <w:p w14:paraId="6AD9B289" w14:textId="226CF391" w:rsidR="00B53189" w:rsidRDefault="00B53189" w:rsidP="002378FC">
            <w:pPr>
              <w:pStyle w:val="Sansinterligne"/>
              <w:spacing w:after="120"/>
              <w:jc w:val="both"/>
              <w:rPr>
                <w:rFonts w:ascii="Arial" w:hAnsi="Arial" w:cs="Arial"/>
                <w:b/>
                <w:sz w:val="20"/>
              </w:rPr>
            </w:pPr>
            <w:r w:rsidRPr="00B53189">
              <w:rPr>
                <w:rFonts w:ascii="Arial" w:hAnsi="Arial" w:cs="Arial"/>
                <w:sz w:val="20"/>
              </w:rPr>
              <w:t xml:space="preserve">Créé en 1964, l’Institut national de la santé et de la recherche médicale (Inserm) est un établissement public à caractère scientifique et technologique, placé sous la double tutelle du Ministère de </w:t>
            </w:r>
            <w:proofErr w:type="spellStart"/>
            <w:r w:rsidRPr="00B53189">
              <w:rPr>
                <w:rFonts w:ascii="Arial" w:hAnsi="Arial" w:cs="Arial"/>
                <w:sz w:val="20"/>
              </w:rPr>
              <w:t>lʼEnseignement</w:t>
            </w:r>
            <w:proofErr w:type="spellEnd"/>
            <w:r w:rsidRPr="00B53189">
              <w:rPr>
                <w:rFonts w:ascii="Arial" w:hAnsi="Arial" w:cs="Arial"/>
                <w:sz w:val="20"/>
              </w:rPr>
              <w:t xml:space="preserve"> supérieur, de la Recherche et de </w:t>
            </w:r>
            <w:proofErr w:type="spellStart"/>
            <w:r w:rsidRPr="00B53189">
              <w:rPr>
                <w:rFonts w:ascii="Arial" w:hAnsi="Arial" w:cs="Arial"/>
                <w:sz w:val="20"/>
              </w:rPr>
              <w:t>lʼInnovation</w:t>
            </w:r>
            <w:proofErr w:type="spellEnd"/>
            <w:r w:rsidRPr="00B53189">
              <w:rPr>
                <w:rFonts w:ascii="Arial" w:hAnsi="Arial" w:cs="Arial"/>
                <w:sz w:val="20"/>
              </w:rPr>
              <w:t xml:space="preserve"> et du Ministère des Solidarités et de la Santé. Il s’agit du </w:t>
            </w:r>
            <w:r w:rsidRPr="00B53189">
              <w:rPr>
                <w:rFonts w:ascii="Arial" w:hAnsi="Arial" w:cs="Arial"/>
                <w:b/>
                <w:sz w:val="20"/>
              </w:rPr>
              <w:t xml:space="preserve">seul organisme public français dédié à la recherche biologique, médicale et à la santé humaine. Ses chercheurs ont pour vocation l’étude de toutes les maladies, des plus fréquentes aux plus rares. </w:t>
            </w:r>
            <w:r w:rsidRPr="00B53189">
              <w:rPr>
                <w:rFonts w:ascii="Arial" w:hAnsi="Arial" w:cs="Arial"/>
                <w:sz w:val="20"/>
              </w:rPr>
              <w:t xml:space="preserve"> L’Inserm compte </w:t>
            </w:r>
            <w:r w:rsidRPr="00B53189">
              <w:rPr>
                <w:rFonts w:ascii="Arial" w:hAnsi="Arial" w:cs="Arial"/>
                <w:b/>
                <w:sz w:val="20"/>
              </w:rPr>
              <w:t xml:space="preserve">près de 350 </w:t>
            </w:r>
            <w:r w:rsidR="004949DC" w:rsidRPr="004949DC">
              <w:rPr>
                <w:rFonts w:ascii="Arial" w:hAnsi="Arial" w:cs="Arial"/>
                <w:b/>
                <w:sz w:val="20"/>
              </w:rPr>
              <w:t xml:space="preserve">structures réparties </w:t>
            </w:r>
            <w:r w:rsidRPr="00B53189">
              <w:rPr>
                <w:rFonts w:ascii="Arial" w:hAnsi="Arial" w:cs="Arial"/>
                <w:b/>
                <w:sz w:val="20"/>
              </w:rPr>
              <w:t xml:space="preserve">sur le territoire français, près de 14 000 chercheurs, ingénieurs, techniciens, gestionnaires, hospitalo-universitaires, </w:t>
            </w:r>
            <w:proofErr w:type="spellStart"/>
            <w:r w:rsidRPr="00B53189">
              <w:rPr>
                <w:rFonts w:ascii="Arial" w:hAnsi="Arial" w:cs="Arial"/>
                <w:b/>
                <w:sz w:val="20"/>
              </w:rPr>
              <w:t>post-doctorants</w:t>
            </w:r>
            <w:proofErr w:type="spellEnd"/>
            <w:r w:rsidRPr="00B53189">
              <w:rPr>
                <w:rFonts w:ascii="Arial" w:hAnsi="Arial" w:cs="Arial"/>
                <w:b/>
                <w:sz w:val="20"/>
              </w:rPr>
              <w:t xml:space="preserve">… </w:t>
            </w:r>
          </w:p>
          <w:p w14:paraId="00951B97" w14:textId="4118AE0B" w:rsidR="00B53189" w:rsidRPr="00B53189" w:rsidRDefault="00B53189" w:rsidP="002378FC">
            <w:pPr>
              <w:pStyle w:val="Sansinterligne"/>
              <w:spacing w:after="120"/>
              <w:jc w:val="both"/>
              <w:rPr>
                <w:rFonts w:ascii="Arial" w:hAnsi="Arial" w:cs="Arial"/>
                <w:sz w:val="6"/>
              </w:rPr>
            </w:pPr>
          </w:p>
        </w:tc>
      </w:tr>
    </w:tbl>
    <w:p w14:paraId="692A3E9B" w14:textId="77777777" w:rsidR="001835D3" w:rsidRDefault="001835D3" w:rsidP="001835D3">
      <w:pPr>
        <w:shd w:val="clear" w:color="auto" w:fill="FFFFFF"/>
        <w:spacing w:after="0" w:line="240" w:lineRule="auto"/>
        <w:rPr>
          <w:rFonts w:ascii="Segoe UI" w:hAnsi="Segoe UI" w:cs="Segoe UI"/>
          <w:color w:val="212121"/>
          <w:sz w:val="23"/>
          <w:szCs w:val="23"/>
          <w:lang w:eastAsia="fr-FR"/>
        </w:rPr>
      </w:pPr>
    </w:p>
    <w:p w14:paraId="14B0A205" w14:textId="77777777" w:rsidR="001835D3" w:rsidRDefault="001835D3" w:rsidP="001835D3">
      <w:pPr>
        <w:shd w:val="clear" w:color="auto" w:fill="FFFFFF"/>
        <w:spacing w:before="0" w:beforeAutospacing="0" w:after="0" w:afterAutospacing="0" w:line="240" w:lineRule="auto"/>
        <w:rPr>
          <w:rFonts w:ascii="Segoe UI" w:hAnsi="Segoe UI" w:cs="Segoe UI"/>
          <w:color w:val="212121"/>
          <w:sz w:val="23"/>
          <w:szCs w:val="23"/>
          <w:lang w:eastAsia="fr-FR"/>
        </w:rPr>
      </w:pPr>
      <w:bookmarkStart w:id="2" w:name="_Hlk96002217"/>
      <w:bookmarkStart w:id="3" w:name="_GoBack"/>
      <w:r>
        <w:rPr>
          <w:color w:val="000000"/>
          <w:lang w:eastAsia="fr-FR"/>
        </w:rPr>
        <w:t>Contact presse :</w:t>
      </w:r>
    </w:p>
    <w:p w14:paraId="574447E5" w14:textId="77777777" w:rsidR="001835D3" w:rsidRDefault="001835D3" w:rsidP="001835D3">
      <w:pPr>
        <w:shd w:val="clear" w:color="auto" w:fill="FFFFFF"/>
        <w:spacing w:before="0" w:beforeAutospacing="0" w:after="0" w:afterAutospacing="0" w:line="240" w:lineRule="auto"/>
        <w:rPr>
          <w:rFonts w:ascii="Segoe UI" w:hAnsi="Segoe UI" w:cs="Segoe UI"/>
          <w:color w:val="212121"/>
          <w:sz w:val="23"/>
          <w:szCs w:val="23"/>
          <w:lang w:eastAsia="fr-FR"/>
        </w:rPr>
      </w:pPr>
      <w:r>
        <w:rPr>
          <w:color w:val="000000"/>
          <w:lang w:eastAsia="fr-FR"/>
        </w:rPr>
        <w:t>Charlotte Chanteloup - 06 42 08 11 68 - </w:t>
      </w:r>
      <w:hyperlink r:id="rId10" w:tgtFrame="_blank" w:history="1">
        <w:r>
          <w:rPr>
            <w:rStyle w:val="Lienhypertexte"/>
            <w:lang w:eastAsia="fr-FR"/>
          </w:rPr>
          <w:t>charlotte.chanteloup@normandie.fr</w:t>
        </w:r>
      </w:hyperlink>
    </w:p>
    <w:bookmarkEnd w:id="0"/>
    <w:bookmarkEnd w:id="1"/>
    <w:bookmarkEnd w:id="2"/>
    <w:bookmarkEnd w:id="3"/>
    <w:p w14:paraId="2CBF5C80" w14:textId="77777777" w:rsidR="00C653EF" w:rsidRDefault="00C653EF"/>
    <w:sectPr w:rsidR="00C65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91D97"/>
    <w:multiLevelType w:val="hybridMultilevel"/>
    <w:tmpl w:val="BB1239B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701296C"/>
    <w:multiLevelType w:val="multilevel"/>
    <w:tmpl w:val="AE06BC9C"/>
    <w:styleLink w:val="WW8Num2"/>
    <w:lvl w:ilvl="0">
      <w:numFmt w:val="bullet"/>
      <w:lvlText w:val=""/>
      <w:lvlJc w:val="left"/>
      <w:pPr>
        <w:ind w:left="0" w:firstLine="0"/>
      </w:pPr>
      <w:rPr>
        <w:rFonts w:ascii="Symbol" w:hAnsi="Symbol"/>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 w15:restartNumberingAfterBreak="0">
    <w:nsid w:val="2389789F"/>
    <w:multiLevelType w:val="hybridMultilevel"/>
    <w:tmpl w:val="83A4CE28"/>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30B431B1"/>
    <w:multiLevelType w:val="hybridMultilevel"/>
    <w:tmpl w:val="09B4A012"/>
    <w:lvl w:ilvl="0" w:tplc="5D782BD6">
      <w:start w:val="2"/>
      <w:numFmt w:val="bullet"/>
      <w:lvlText w:val=""/>
      <w:lvlJc w:val="left"/>
      <w:pPr>
        <w:ind w:left="720" w:hanging="360"/>
      </w:pPr>
      <w:rPr>
        <w:rFonts w:ascii="Wingdings" w:eastAsia="Times New Roman"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87B7445"/>
    <w:multiLevelType w:val="hybridMultilevel"/>
    <w:tmpl w:val="BC825046"/>
    <w:lvl w:ilvl="0" w:tplc="040C0005">
      <w:start w:val="1"/>
      <w:numFmt w:val="bullet"/>
      <w:lvlText w:val=""/>
      <w:lvlJc w:val="left"/>
      <w:pPr>
        <w:ind w:left="1065" w:hanging="705"/>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3F1E53"/>
    <w:multiLevelType w:val="hybridMultilevel"/>
    <w:tmpl w:val="BB02CF6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41F150A"/>
    <w:multiLevelType w:val="hybridMultilevel"/>
    <w:tmpl w:val="20BC529C"/>
    <w:lvl w:ilvl="0" w:tplc="09DA6410">
      <w:start w:val="9"/>
      <w:numFmt w:val="bullet"/>
      <w:lvlText w:val="-"/>
      <w:lvlJc w:val="left"/>
      <w:pPr>
        <w:ind w:left="720" w:hanging="360"/>
      </w:pPr>
      <w:rPr>
        <w:rFonts w:ascii="Calibri" w:eastAsiaTheme="minorHAnsi" w:hAnsi="Calibri" w:cs="Calibri"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2A459B"/>
    <w:multiLevelType w:val="hybridMultilevel"/>
    <w:tmpl w:val="33A235FA"/>
    <w:lvl w:ilvl="0" w:tplc="CE260982">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C7B5CE1"/>
    <w:multiLevelType w:val="hybridMultilevel"/>
    <w:tmpl w:val="455424E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C910B98"/>
    <w:multiLevelType w:val="hybridMultilevel"/>
    <w:tmpl w:val="108E6172"/>
    <w:lvl w:ilvl="0" w:tplc="3ECC98E4">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581D16A0"/>
    <w:multiLevelType w:val="hybridMultilevel"/>
    <w:tmpl w:val="555E901E"/>
    <w:lvl w:ilvl="0" w:tplc="09DA6410">
      <w:start w:val="9"/>
      <w:numFmt w:val="bullet"/>
      <w:lvlText w:val="-"/>
      <w:lvlJc w:val="left"/>
      <w:pPr>
        <w:ind w:left="720" w:hanging="360"/>
      </w:pPr>
      <w:rPr>
        <w:rFonts w:ascii="Calibri" w:eastAsiaTheme="minorHAnsi" w:hAnsi="Calibri" w:cs="Calibri"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AC2FA6"/>
    <w:multiLevelType w:val="hybridMultilevel"/>
    <w:tmpl w:val="4B127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1935D5"/>
    <w:multiLevelType w:val="multilevel"/>
    <w:tmpl w:val="F1C82508"/>
    <w:styleLink w:val="WW8Num17"/>
    <w:lvl w:ilvl="0">
      <w:numFmt w:val="bullet"/>
      <w:lvlText w:val="-"/>
      <w:lvlJc w:val="left"/>
      <w:pPr>
        <w:ind w:left="0" w:firstLine="0"/>
      </w:pPr>
      <w:rPr>
        <w:rFonts w:ascii="Times New Roman" w:hAnsi="Times New Roman" w:cs="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3" w15:restartNumberingAfterBreak="0">
    <w:nsid w:val="672E0F90"/>
    <w:multiLevelType w:val="hybridMultilevel"/>
    <w:tmpl w:val="E86AD634"/>
    <w:lvl w:ilvl="0" w:tplc="CD2A8446">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847973"/>
    <w:multiLevelType w:val="hybridMultilevel"/>
    <w:tmpl w:val="B2BC5352"/>
    <w:lvl w:ilvl="0" w:tplc="201C3806">
      <w:start w:val="3"/>
      <w:numFmt w:val="bullet"/>
      <w:lvlText w:val=""/>
      <w:lvlJc w:val="left"/>
      <w:pPr>
        <w:ind w:left="1080" w:hanging="360"/>
      </w:pPr>
      <w:rPr>
        <w:rFonts w:ascii="Symbol" w:eastAsia="Times New Roman" w:hAnsi="Symbol" w:cs="Aria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1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6"/>
  </w:num>
  <w:num w:numId="12">
    <w:abstractNumId w:val="0"/>
  </w:num>
  <w:num w:numId="13">
    <w:abstractNumId w:val="2"/>
  </w:num>
  <w:num w:numId="14">
    <w:abstractNumId w:val="10"/>
  </w:num>
  <w:num w:numId="15">
    <w:abstractNumId w:val="13"/>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D3"/>
    <w:rsid w:val="000A6302"/>
    <w:rsid w:val="000E4034"/>
    <w:rsid w:val="001835D3"/>
    <w:rsid w:val="002378FC"/>
    <w:rsid w:val="004043A2"/>
    <w:rsid w:val="004949DC"/>
    <w:rsid w:val="004B3FD3"/>
    <w:rsid w:val="006373EE"/>
    <w:rsid w:val="00827DEB"/>
    <w:rsid w:val="00983EBA"/>
    <w:rsid w:val="009D4907"/>
    <w:rsid w:val="00A007EC"/>
    <w:rsid w:val="00B53189"/>
    <w:rsid w:val="00C44E0B"/>
    <w:rsid w:val="00C653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9719"/>
  <w15:chartTrackingRefBased/>
  <w15:docId w15:val="{0D6DFBE1-8594-4448-A0B3-55683681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orpsTexte"/>
    <w:qFormat/>
    <w:rsid w:val="002378FC"/>
    <w:pPr>
      <w:spacing w:before="100" w:beforeAutospacing="1" w:after="100" w:afterAutospacing="1" w:line="252" w:lineRule="auto"/>
      <w:jc w:val="both"/>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378FC"/>
    <w:rPr>
      <w:color w:val="0563C1"/>
      <w:u w:val="single"/>
    </w:rPr>
  </w:style>
  <w:style w:type="paragraph" w:styleId="Sous-titre">
    <w:name w:val="Subtitle"/>
    <w:basedOn w:val="Normal"/>
    <w:link w:val="Sous-titreCar"/>
    <w:uiPriority w:val="11"/>
    <w:qFormat/>
    <w:rsid w:val="002378FC"/>
    <w:rPr>
      <w:rFonts w:ascii="Calibri" w:hAnsi="Calibri" w:cs="Calibri"/>
      <w:color w:val="5A5A5A"/>
      <w:spacing w:val="15"/>
    </w:rPr>
  </w:style>
  <w:style w:type="character" w:customStyle="1" w:styleId="Sous-titreCar">
    <w:name w:val="Sous-titre Car"/>
    <w:basedOn w:val="Policepardfaut"/>
    <w:link w:val="Sous-titre"/>
    <w:uiPriority w:val="11"/>
    <w:rsid w:val="002378FC"/>
    <w:rPr>
      <w:rFonts w:ascii="Calibri" w:hAnsi="Calibri" w:cs="Calibri"/>
      <w:color w:val="5A5A5A"/>
      <w:spacing w:val="15"/>
    </w:rPr>
  </w:style>
  <w:style w:type="paragraph" w:styleId="Sansinterligne">
    <w:name w:val="No Spacing"/>
    <w:basedOn w:val="Normal"/>
    <w:uiPriority w:val="1"/>
    <w:qFormat/>
    <w:rsid w:val="002378FC"/>
    <w:pPr>
      <w:spacing w:before="0" w:beforeAutospacing="0" w:after="0" w:afterAutospacing="0" w:line="240" w:lineRule="auto"/>
      <w:jc w:val="left"/>
    </w:pPr>
    <w:rPr>
      <w:rFonts w:ascii="Calibri" w:hAnsi="Calibri" w:cs="Calibri"/>
    </w:rPr>
  </w:style>
  <w:style w:type="paragraph" w:styleId="NormalWeb">
    <w:name w:val="Normal (Web)"/>
    <w:basedOn w:val="Normal"/>
    <w:uiPriority w:val="99"/>
    <w:semiHidden/>
    <w:unhideWhenUsed/>
    <w:rsid w:val="00C44E0B"/>
    <w:pPr>
      <w:spacing w:line="240" w:lineRule="auto"/>
      <w:jc w:val="left"/>
    </w:pPr>
    <w:rPr>
      <w:rFonts w:ascii="Times New Roman" w:eastAsia="Calibri" w:hAnsi="Times New Roman" w:cs="Times New Roman"/>
      <w:sz w:val="24"/>
      <w:szCs w:val="24"/>
      <w:lang w:eastAsia="fr-FR"/>
    </w:rPr>
  </w:style>
  <w:style w:type="paragraph" w:styleId="Paragraphedeliste">
    <w:name w:val="List Paragraph"/>
    <w:basedOn w:val="Normal"/>
    <w:uiPriority w:val="34"/>
    <w:qFormat/>
    <w:rsid w:val="00C44E0B"/>
    <w:pPr>
      <w:widowControl w:val="0"/>
      <w:suppressAutoHyphens/>
      <w:autoSpaceDN w:val="0"/>
      <w:spacing w:before="0" w:beforeAutospacing="0" w:after="0" w:afterAutospacing="0" w:line="240" w:lineRule="auto"/>
      <w:ind w:left="720"/>
      <w:contextualSpacing/>
      <w:jc w:val="left"/>
    </w:pPr>
    <w:rPr>
      <w:rFonts w:ascii="Times New Roman" w:eastAsia="SimSun" w:hAnsi="Times New Roman" w:cs="Mangal"/>
      <w:kern w:val="3"/>
      <w:sz w:val="24"/>
      <w:szCs w:val="21"/>
      <w:lang w:eastAsia="zh-CN" w:bidi="hi-IN"/>
    </w:rPr>
  </w:style>
  <w:style w:type="paragraph" w:customStyle="1" w:styleId="aart">
    <w:name w:val="aart"/>
    <w:basedOn w:val="Normal"/>
    <w:uiPriority w:val="99"/>
    <w:rsid w:val="00C44E0B"/>
    <w:pPr>
      <w:spacing w:line="240" w:lineRule="auto"/>
      <w:ind w:firstLine="283"/>
    </w:pPr>
    <w:rPr>
      <w:rFonts w:ascii="Times" w:eastAsia="Times New Roman" w:hAnsi="Times" w:cs="Times"/>
      <w:color w:val="000000"/>
      <w:sz w:val="24"/>
      <w:szCs w:val="24"/>
      <w:lang w:eastAsia="fr-FR"/>
    </w:rPr>
  </w:style>
  <w:style w:type="paragraph" w:customStyle="1" w:styleId="Standard">
    <w:name w:val="Standard"/>
    <w:uiPriority w:val="99"/>
    <w:rsid w:val="00C44E0B"/>
    <w:pPr>
      <w:suppressAutoHyphens/>
      <w:autoSpaceDN w:val="0"/>
      <w:spacing w:after="0" w:line="240" w:lineRule="auto"/>
    </w:pPr>
    <w:rPr>
      <w:rFonts w:ascii="Arial" w:eastAsia="Times New Roman" w:hAnsi="Arial" w:cs="Arial"/>
      <w:kern w:val="3"/>
      <w:lang w:eastAsia="zh-CN"/>
    </w:rPr>
  </w:style>
  <w:style w:type="character" w:styleId="lev">
    <w:name w:val="Strong"/>
    <w:basedOn w:val="Policepardfaut"/>
    <w:uiPriority w:val="22"/>
    <w:qFormat/>
    <w:rsid w:val="00C44E0B"/>
    <w:rPr>
      <w:b/>
      <w:bCs/>
    </w:rPr>
  </w:style>
  <w:style w:type="numbering" w:customStyle="1" w:styleId="WW8Num17">
    <w:name w:val="WW8Num17"/>
    <w:rsid w:val="00C44E0B"/>
    <w:pPr>
      <w:numPr>
        <w:numId w:val="9"/>
      </w:numPr>
    </w:pPr>
  </w:style>
  <w:style w:type="numbering" w:customStyle="1" w:styleId="WW8Num2">
    <w:name w:val="WW8Num2"/>
    <w:rsid w:val="00C44E0B"/>
    <w:pPr>
      <w:numPr>
        <w:numId w:val="10"/>
      </w:numPr>
    </w:pPr>
  </w:style>
  <w:style w:type="table" w:styleId="Grilledutableau">
    <w:name w:val="Table Grid"/>
    <w:basedOn w:val="TableauNormal"/>
    <w:uiPriority w:val="39"/>
    <w:rsid w:val="00B5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724626">
      <w:bodyDiv w:val="1"/>
      <w:marLeft w:val="0"/>
      <w:marRight w:val="0"/>
      <w:marTop w:val="0"/>
      <w:marBottom w:val="0"/>
      <w:divBdr>
        <w:top w:val="none" w:sz="0" w:space="0" w:color="auto"/>
        <w:left w:val="none" w:sz="0" w:space="0" w:color="auto"/>
        <w:bottom w:val="none" w:sz="0" w:space="0" w:color="auto"/>
        <w:right w:val="none" w:sz="0" w:space="0" w:color="auto"/>
      </w:divBdr>
    </w:div>
    <w:div w:id="200038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png@01D7AED1.F8795CA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7AED1.DFB8630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harlotte.chanteloup@normandie.fr" TargetMode="Externa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623</Words>
  <Characters>3430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7</cp:revision>
  <dcterms:created xsi:type="dcterms:W3CDTF">2022-02-14T12:30:00Z</dcterms:created>
  <dcterms:modified xsi:type="dcterms:W3CDTF">2022-02-17T13:56:00Z</dcterms:modified>
</cp:coreProperties>
</file>