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EE5FD" w14:textId="77777777" w:rsidR="000C4DE5" w:rsidRPr="00250E90" w:rsidRDefault="000C4DE5" w:rsidP="000C4DE5">
      <w:pPr>
        <w:pStyle w:val="Default"/>
        <w:ind w:left="-1134"/>
        <w:jc w:val="center"/>
        <w:rPr>
          <w:rFonts w:ascii="Arial" w:hAnsi="Arial" w:cs="Arial"/>
          <w:sz w:val="22"/>
          <w:szCs w:val="22"/>
        </w:rPr>
      </w:pPr>
      <w:bookmarkStart w:id="0" w:name="_Hlk95402267"/>
      <w:r>
        <w:rPr>
          <w:rFonts w:ascii="Arial" w:hAnsi="Arial" w:cs="Arial"/>
          <w:noProof/>
          <w:sz w:val="22"/>
          <w:szCs w:val="22"/>
          <w:lang w:eastAsia="fr-FR"/>
        </w:rPr>
        <w:drawing>
          <wp:inline distT="0" distB="0" distL="0" distR="0" wp14:anchorId="0709C001" wp14:editId="1C179678">
            <wp:extent cx="7175634" cy="676275"/>
            <wp:effectExtent l="0" t="0" r="635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1856"/>
        <w:gridCol w:w="1274"/>
        <w:gridCol w:w="1962"/>
        <w:gridCol w:w="1459"/>
        <w:gridCol w:w="1300"/>
      </w:tblGrid>
      <w:tr w:rsidR="00D23D2D" w14:paraId="4B0BBC64" w14:textId="77777777" w:rsidTr="000C4DE5">
        <w:tc>
          <w:tcPr>
            <w:tcW w:w="1209" w:type="dxa"/>
            <w:hideMark/>
          </w:tcPr>
          <w:p w14:paraId="482609BF" w14:textId="16908DDB" w:rsidR="000C4DE5" w:rsidRDefault="000C4DE5">
            <w:pPr>
              <w:rPr>
                <w:lang w:eastAsia="en-US"/>
              </w:rPr>
            </w:pPr>
            <w:r>
              <w:rPr>
                <w:rFonts w:ascii="Calibri Light" w:hAnsi="Calibri Light" w:cs="Calibri Light"/>
                <w:b/>
                <w:noProof/>
                <w:lang w:eastAsia="en-US"/>
              </w:rPr>
              <w:drawing>
                <wp:inline distT="0" distB="0" distL="0" distR="0" wp14:anchorId="2BC05816" wp14:editId="2109A86E">
                  <wp:extent cx="723900" cy="682534"/>
                  <wp:effectExtent l="0" t="0" r="0" b="3810"/>
                  <wp:docPr id="6" name="Image 6"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logo_r.normandie-portrait-cmj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5544" cy="684084"/>
                          </a:xfrm>
                          <a:prstGeom prst="rect">
                            <a:avLst/>
                          </a:prstGeom>
                          <a:noFill/>
                          <a:ln>
                            <a:noFill/>
                          </a:ln>
                        </pic:spPr>
                      </pic:pic>
                    </a:graphicData>
                  </a:graphic>
                </wp:inline>
              </w:drawing>
            </w:r>
          </w:p>
        </w:tc>
        <w:tc>
          <w:tcPr>
            <w:tcW w:w="1947" w:type="dxa"/>
            <w:hideMark/>
          </w:tcPr>
          <w:p w14:paraId="7650ADD0" w14:textId="1B2E84BB" w:rsidR="000C4DE5" w:rsidRDefault="000C4DE5">
            <w:pPr>
              <w:rPr>
                <w:lang w:eastAsia="en-US"/>
              </w:rPr>
            </w:pPr>
            <w:r>
              <w:rPr>
                <w:noProof/>
                <w:lang w:eastAsia="en-US"/>
              </w:rPr>
              <w:drawing>
                <wp:inline distT="0" distB="0" distL="0" distR="0" wp14:anchorId="0D00027C" wp14:editId="0D7C4D07">
                  <wp:extent cx="1181100" cy="322118"/>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080" cy="328931"/>
                          </a:xfrm>
                          <a:prstGeom prst="rect">
                            <a:avLst/>
                          </a:prstGeom>
                          <a:noFill/>
                          <a:ln>
                            <a:noFill/>
                          </a:ln>
                        </pic:spPr>
                      </pic:pic>
                    </a:graphicData>
                  </a:graphic>
                </wp:inline>
              </w:drawing>
            </w:r>
          </w:p>
        </w:tc>
        <w:tc>
          <w:tcPr>
            <w:tcW w:w="1351" w:type="dxa"/>
            <w:hideMark/>
          </w:tcPr>
          <w:p w14:paraId="10290511" w14:textId="6D061043" w:rsidR="000C4DE5" w:rsidRDefault="000C4DE5">
            <w:pPr>
              <w:rPr>
                <w:lang w:eastAsia="en-US"/>
              </w:rPr>
            </w:pPr>
            <w:r>
              <w:rPr>
                <w:noProof/>
                <w:lang w:eastAsia="en-US"/>
              </w:rPr>
              <w:drawing>
                <wp:inline distT="0" distB="0" distL="0" distR="0" wp14:anchorId="546C1541" wp14:editId="7872F3F6">
                  <wp:extent cx="762000" cy="4191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419100"/>
                          </a:xfrm>
                          <a:prstGeom prst="rect">
                            <a:avLst/>
                          </a:prstGeom>
                          <a:noFill/>
                          <a:ln>
                            <a:noFill/>
                          </a:ln>
                        </pic:spPr>
                      </pic:pic>
                    </a:graphicData>
                  </a:graphic>
                </wp:inline>
              </w:drawing>
            </w:r>
          </w:p>
        </w:tc>
        <w:tc>
          <w:tcPr>
            <w:tcW w:w="1635" w:type="dxa"/>
            <w:hideMark/>
          </w:tcPr>
          <w:p w14:paraId="10B42470" w14:textId="50C89760" w:rsidR="000C4DE5" w:rsidRDefault="000C4DE5">
            <w:pPr>
              <w:rPr>
                <w:lang w:eastAsia="en-US"/>
              </w:rPr>
            </w:pPr>
            <w:r>
              <w:rPr>
                <w:noProof/>
                <w:lang w:eastAsia="en-US"/>
              </w:rPr>
              <w:drawing>
                <wp:inline distT="0" distB="0" distL="0" distR="0" wp14:anchorId="51784005" wp14:editId="7BE48E40">
                  <wp:extent cx="1257300" cy="4191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419100"/>
                          </a:xfrm>
                          <a:prstGeom prst="rect">
                            <a:avLst/>
                          </a:prstGeom>
                          <a:noFill/>
                          <a:ln>
                            <a:noFill/>
                          </a:ln>
                        </pic:spPr>
                      </pic:pic>
                    </a:graphicData>
                  </a:graphic>
                </wp:inline>
              </w:drawing>
            </w:r>
          </w:p>
        </w:tc>
        <w:tc>
          <w:tcPr>
            <w:tcW w:w="1550" w:type="dxa"/>
            <w:hideMark/>
          </w:tcPr>
          <w:p w14:paraId="69E68632" w14:textId="784D7327" w:rsidR="000C4DE5" w:rsidRDefault="000C4DE5">
            <w:pPr>
              <w:rPr>
                <w:lang w:eastAsia="en-US"/>
              </w:rPr>
            </w:pPr>
            <w:r>
              <w:rPr>
                <w:noProof/>
                <w:lang w:eastAsia="en-US"/>
              </w:rPr>
              <w:drawing>
                <wp:inline distT="0" distB="0" distL="0" distR="0" wp14:anchorId="0D3CDEC1" wp14:editId="3647B73D">
                  <wp:extent cx="895350" cy="419100"/>
                  <wp:effectExtent l="0" t="0" r="0" b="0"/>
                  <wp:docPr id="2" name="Image 2" descr="27B83E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27B83E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419100"/>
                          </a:xfrm>
                          <a:prstGeom prst="rect">
                            <a:avLst/>
                          </a:prstGeom>
                          <a:noFill/>
                          <a:ln>
                            <a:noFill/>
                          </a:ln>
                        </pic:spPr>
                      </pic:pic>
                    </a:graphicData>
                  </a:graphic>
                </wp:inline>
              </w:drawing>
            </w:r>
          </w:p>
        </w:tc>
        <w:tc>
          <w:tcPr>
            <w:tcW w:w="1380" w:type="dxa"/>
            <w:hideMark/>
          </w:tcPr>
          <w:p w14:paraId="4BB71E21" w14:textId="54FEDDE1" w:rsidR="000C4DE5" w:rsidRDefault="000C4DE5">
            <w:pPr>
              <w:rPr>
                <w:lang w:eastAsia="en-US"/>
              </w:rPr>
            </w:pPr>
            <w:r>
              <w:rPr>
                <w:noProof/>
                <w:lang w:eastAsia="en-US"/>
              </w:rPr>
              <w:drawing>
                <wp:inline distT="0" distB="0" distL="0" distR="0" wp14:anchorId="733A4AE8" wp14:editId="3BFC315F">
                  <wp:extent cx="771525" cy="4191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419100"/>
                          </a:xfrm>
                          <a:prstGeom prst="rect">
                            <a:avLst/>
                          </a:prstGeom>
                          <a:noFill/>
                          <a:ln>
                            <a:noFill/>
                          </a:ln>
                        </pic:spPr>
                      </pic:pic>
                    </a:graphicData>
                  </a:graphic>
                </wp:inline>
              </w:drawing>
            </w:r>
          </w:p>
        </w:tc>
      </w:tr>
    </w:tbl>
    <w:p w14:paraId="724102E8" w14:textId="6529E1CF" w:rsidR="000C4DE5" w:rsidRDefault="000C4DE5" w:rsidP="000C4DE5">
      <w:pPr>
        <w:jc w:val="right"/>
        <w:rPr>
          <w:rFonts w:ascii="Arial" w:hAnsi="Arial" w:cs="Arial"/>
        </w:rPr>
      </w:pPr>
      <w:r>
        <w:rPr>
          <w:rFonts w:ascii="Arial" w:hAnsi="Arial" w:cs="Arial"/>
        </w:rPr>
        <w:t xml:space="preserve">Le </w:t>
      </w:r>
      <w:r w:rsidR="00FD411A">
        <w:rPr>
          <w:rFonts w:ascii="Arial" w:hAnsi="Arial" w:cs="Arial"/>
        </w:rPr>
        <w:t>10</w:t>
      </w:r>
      <w:r>
        <w:rPr>
          <w:rFonts w:ascii="Arial" w:hAnsi="Arial" w:cs="Arial"/>
        </w:rPr>
        <w:t xml:space="preserve"> février 2022</w:t>
      </w:r>
    </w:p>
    <w:p w14:paraId="78308E70" w14:textId="77777777" w:rsidR="000C4DE5" w:rsidRDefault="000C4DE5" w:rsidP="000C4DE5">
      <w:pPr>
        <w:jc w:val="right"/>
        <w:rPr>
          <w:rFonts w:ascii="Arial" w:hAnsi="Arial" w:cs="Arial"/>
        </w:rPr>
      </w:pPr>
    </w:p>
    <w:p w14:paraId="171C8187" w14:textId="77777777" w:rsidR="0071069E" w:rsidRDefault="0071069E" w:rsidP="0071069E">
      <w:r>
        <w:rPr>
          <w:rFonts w:ascii="Arial" w:hAnsi="Arial" w:cs="Arial"/>
          <w:b/>
          <w:bCs/>
          <w:sz w:val="28"/>
          <w:szCs w:val="28"/>
        </w:rPr>
        <w:t>Gaz renouvelable :</w:t>
      </w:r>
    </w:p>
    <w:p w14:paraId="3BA1DF13" w14:textId="77777777" w:rsidR="0071069E" w:rsidRDefault="0071069E" w:rsidP="0071069E">
      <w:pPr>
        <w:jc w:val="both"/>
      </w:pPr>
      <w:r>
        <w:rPr>
          <w:rFonts w:ascii="Arial" w:hAnsi="Arial" w:cs="Arial"/>
          <w:b/>
          <w:bCs/>
          <w:sz w:val="28"/>
          <w:szCs w:val="28"/>
        </w:rPr>
        <w:t>Projet d'infrastructures gazières et biométhane au service du développement de la méthanisation dans le Perche</w:t>
      </w:r>
    </w:p>
    <w:p w14:paraId="4BF7BD3C" w14:textId="77777777" w:rsidR="0071069E" w:rsidRDefault="0071069E" w:rsidP="0071069E">
      <w:r>
        <w:t> </w:t>
      </w:r>
    </w:p>
    <w:p w14:paraId="0A24ABF7" w14:textId="4836A20D" w:rsidR="0022347C" w:rsidRDefault="0071069E" w:rsidP="0071069E">
      <w:pPr>
        <w:jc w:val="both"/>
        <w:rPr>
          <w:rFonts w:ascii="Arial" w:hAnsi="Arial" w:cs="Arial"/>
        </w:rPr>
      </w:pPr>
      <w:r w:rsidRPr="00AF4B1E">
        <w:rPr>
          <w:rStyle w:val="lev"/>
          <w:rFonts w:ascii="Arial" w:hAnsi="Arial" w:cs="Arial"/>
          <w:b w:val="0"/>
          <w:bCs w:val="0"/>
        </w:rPr>
        <w:t>Le 10 février, Hervé MORIN, Président de la Région Normandie</w:t>
      </w:r>
      <w:r w:rsidRPr="00AF4B1E">
        <w:rPr>
          <w:rFonts w:ascii="Arial" w:hAnsi="Arial" w:cs="Arial"/>
          <w:b/>
          <w:bCs/>
        </w:rPr>
        <w:t xml:space="preserve">, </w:t>
      </w:r>
      <w:r w:rsidRPr="00AF4B1E">
        <w:rPr>
          <w:rStyle w:val="lev"/>
          <w:rFonts w:ascii="Arial" w:hAnsi="Arial" w:cs="Arial"/>
          <w:b w:val="0"/>
          <w:bCs w:val="0"/>
        </w:rPr>
        <w:t>Jean-Claude LENOIR</w:t>
      </w:r>
      <w:r w:rsidRPr="00AF4B1E">
        <w:rPr>
          <w:rFonts w:ascii="Arial" w:hAnsi="Arial" w:cs="Arial"/>
          <w:b/>
          <w:bCs/>
        </w:rPr>
        <w:t xml:space="preserve">, </w:t>
      </w:r>
      <w:r w:rsidRPr="00AF4B1E">
        <w:rPr>
          <w:rStyle w:val="lev"/>
          <w:rFonts w:ascii="Arial" w:hAnsi="Arial" w:cs="Arial"/>
          <w:b w:val="0"/>
          <w:bCs w:val="0"/>
        </w:rPr>
        <w:t>Président de la Communauté de</w:t>
      </w:r>
      <w:r w:rsidRPr="00AF4B1E">
        <w:rPr>
          <w:rFonts w:ascii="Arial" w:hAnsi="Arial" w:cs="Arial"/>
          <w:b/>
          <w:bCs/>
        </w:rPr>
        <w:t xml:space="preserve"> </w:t>
      </w:r>
      <w:r w:rsidRPr="00AF4B1E">
        <w:rPr>
          <w:rStyle w:val="lev"/>
          <w:rFonts w:ascii="Arial" w:hAnsi="Arial" w:cs="Arial"/>
          <w:b w:val="0"/>
          <w:bCs w:val="0"/>
        </w:rPr>
        <w:t>Communes du Pays de Mortagne-au-Perche</w:t>
      </w:r>
      <w:r w:rsidRPr="00AF4B1E">
        <w:rPr>
          <w:rFonts w:ascii="Arial" w:hAnsi="Arial" w:cs="Arial"/>
          <w:b/>
          <w:bCs/>
        </w:rPr>
        <w:t>,</w:t>
      </w:r>
      <w:r w:rsidRPr="00AF4B1E">
        <w:rPr>
          <w:rFonts w:ascii="Arial" w:hAnsi="Arial" w:cs="Arial"/>
        </w:rPr>
        <w:t xml:space="preserve"> Isabelle THIERRY, Présidente de la Communauté de Communes Collines du Perche Normand, Philippe AUVRAY, Président de Territoire d'énergie Orne, Frédéric MOULIN, Délégué territorial Val de Seine de GRTgaz </w:t>
      </w:r>
      <w:r w:rsidR="005B055E" w:rsidRPr="00AF4B1E">
        <w:rPr>
          <w:rFonts w:ascii="Arial" w:hAnsi="Arial" w:cs="Arial"/>
        </w:rPr>
        <w:t xml:space="preserve">et Karen Buisson, Directrice Adjointe GRDF Normandie – Hauts-de-France et Directrice du programme </w:t>
      </w:r>
      <w:proofErr w:type="spellStart"/>
      <w:r w:rsidR="005B055E" w:rsidRPr="00AF4B1E">
        <w:rPr>
          <w:rFonts w:ascii="Arial" w:hAnsi="Arial" w:cs="Arial"/>
        </w:rPr>
        <w:t>Biomethane</w:t>
      </w:r>
      <w:proofErr w:type="spellEnd"/>
      <w:r w:rsidR="005B055E" w:rsidRPr="00AF4B1E">
        <w:rPr>
          <w:rFonts w:ascii="Arial" w:hAnsi="Arial" w:cs="Arial"/>
        </w:rPr>
        <w:t xml:space="preserve"> </w:t>
      </w:r>
      <w:r w:rsidRPr="00AF4B1E">
        <w:rPr>
          <w:rFonts w:ascii="Arial" w:hAnsi="Arial" w:cs="Arial"/>
        </w:rPr>
        <w:t>ont présenté, à Mortagne-au-Perche, le projet  d'infrastructures gazières et biométhane au service du développement de la méthanisation dans le Perche</w:t>
      </w:r>
    </w:p>
    <w:p w14:paraId="7CC7705E" w14:textId="77777777" w:rsidR="0022347C" w:rsidRDefault="0022347C" w:rsidP="0071069E">
      <w:pPr>
        <w:jc w:val="both"/>
        <w:rPr>
          <w:rFonts w:ascii="Arial" w:hAnsi="Arial" w:cs="Arial"/>
        </w:rPr>
      </w:pPr>
    </w:p>
    <w:p w14:paraId="7A237EC2" w14:textId="3BFFF333" w:rsidR="0071069E" w:rsidRPr="00AF4B1E" w:rsidRDefault="0022347C" w:rsidP="0071069E">
      <w:pPr>
        <w:jc w:val="both"/>
        <w:rPr>
          <w:rFonts w:ascii="Arial" w:hAnsi="Arial" w:cs="Arial"/>
        </w:rPr>
      </w:pPr>
      <w:r>
        <w:rPr>
          <w:rFonts w:ascii="Arial" w:hAnsi="Arial" w:cs="Arial"/>
        </w:rPr>
        <w:t xml:space="preserve">Etaient aussi présents Julien </w:t>
      </w:r>
      <w:proofErr w:type="spellStart"/>
      <w:r>
        <w:rPr>
          <w:rFonts w:ascii="Arial" w:hAnsi="Arial" w:cs="Arial"/>
        </w:rPr>
        <w:t>Miniconi</w:t>
      </w:r>
      <w:proofErr w:type="spellEnd"/>
      <w:r>
        <w:rPr>
          <w:rFonts w:ascii="Arial" w:hAnsi="Arial" w:cs="Arial"/>
        </w:rPr>
        <w:t xml:space="preserve">, Sous-Préfet de Mortagne au Perche, Véronique </w:t>
      </w:r>
      <w:proofErr w:type="spellStart"/>
      <w:r>
        <w:rPr>
          <w:rFonts w:ascii="Arial" w:hAnsi="Arial" w:cs="Arial"/>
        </w:rPr>
        <w:t>Louwagie</w:t>
      </w:r>
      <w:proofErr w:type="spellEnd"/>
      <w:r>
        <w:rPr>
          <w:rFonts w:ascii="Arial" w:hAnsi="Arial" w:cs="Arial"/>
        </w:rPr>
        <w:t>,</w:t>
      </w:r>
      <w:r w:rsidR="00D12452">
        <w:rPr>
          <w:rFonts w:ascii="Arial" w:hAnsi="Arial" w:cs="Arial"/>
        </w:rPr>
        <w:t xml:space="preserve"> Députée de l’Orne,</w:t>
      </w:r>
      <w:r>
        <w:rPr>
          <w:rFonts w:ascii="Arial" w:hAnsi="Arial" w:cs="Arial"/>
        </w:rPr>
        <w:t xml:space="preserve"> Aline </w:t>
      </w:r>
      <w:proofErr w:type="spellStart"/>
      <w:r>
        <w:rPr>
          <w:rFonts w:ascii="Arial" w:hAnsi="Arial" w:cs="Arial"/>
        </w:rPr>
        <w:t>Louisy-Louis</w:t>
      </w:r>
      <w:proofErr w:type="spellEnd"/>
      <w:r>
        <w:rPr>
          <w:rFonts w:ascii="Arial" w:hAnsi="Arial" w:cs="Arial"/>
        </w:rPr>
        <w:t xml:space="preserve">, </w:t>
      </w:r>
      <w:r w:rsidRPr="00AF4B1E">
        <w:rPr>
          <w:rStyle w:val="lev"/>
          <w:rFonts w:ascii="Arial" w:hAnsi="Arial" w:cs="Arial"/>
          <w:b w:val="0"/>
          <w:bCs w:val="0"/>
        </w:rPr>
        <w:t>Vice-Président</w:t>
      </w:r>
      <w:r>
        <w:rPr>
          <w:rStyle w:val="lev"/>
          <w:rFonts w:ascii="Arial" w:hAnsi="Arial" w:cs="Arial"/>
          <w:b w:val="0"/>
          <w:bCs w:val="0"/>
        </w:rPr>
        <w:t>e</w:t>
      </w:r>
      <w:r w:rsidRPr="00AF4B1E">
        <w:rPr>
          <w:rStyle w:val="lev"/>
          <w:rFonts w:ascii="Arial" w:hAnsi="Arial" w:cs="Arial"/>
          <w:b w:val="0"/>
          <w:bCs w:val="0"/>
        </w:rPr>
        <w:t xml:space="preserve"> de la Région Normandie</w:t>
      </w:r>
      <w:r>
        <w:rPr>
          <w:rStyle w:val="lev"/>
          <w:rFonts w:ascii="Arial" w:hAnsi="Arial" w:cs="Arial"/>
          <w:b w:val="0"/>
          <w:bCs w:val="0"/>
        </w:rPr>
        <w:t xml:space="preserve"> et Thierry </w:t>
      </w:r>
      <w:proofErr w:type="spellStart"/>
      <w:r>
        <w:rPr>
          <w:rStyle w:val="lev"/>
          <w:rFonts w:ascii="Arial" w:hAnsi="Arial" w:cs="Arial"/>
          <w:b w:val="0"/>
          <w:bCs w:val="0"/>
        </w:rPr>
        <w:t>Liger</w:t>
      </w:r>
      <w:proofErr w:type="spellEnd"/>
      <w:r>
        <w:rPr>
          <w:rStyle w:val="lev"/>
          <w:rFonts w:ascii="Arial" w:hAnsi="Arial" w:cs="Arial"/>
          <w:b w:val="0"/>
          <w:bCs w:val="0"/>
        </w:rPr>
        <w:t>, Conseiller régional.</w:t>
      </w:r>
    </w:p>
    <w:p w14:paraId="7C67CA3F" w14:textId="77777777" w:rsidR="00AD387C" w:rsidRPr="00AF4B1E" w:rsidRDefault="00AD387C" w:rsidP="0071069E">
      <w:pPr>
        <w:jc w:val="both"/>
      </w:pPr>
    </w:p>
    <w:p w14:paraId="55698CA9" w14:textId="77777777" w:rsidR="0071069E" w:rsidRPr="00AF4B1E" w:rsidRDefault="0071069E" w:rsidP="0071069E">
      <w:pPr>
        <w:jc w:val="both"/>
      </w:pPr>
      <w:r w:rsidRPr="00AF4B1E">
        <w:rPr>
          <w:rFonts w:ascii="Arial" w:hAnsi="Arial" w:cs="Arial"/>
          <w:shd w:val="clear" w:color="auto" w:fill="FFFFFF"/>
        </w:rPr>
        <w:t>A la suite d’un</w:t>
      </w:r>
      <w:r w:rsidRPr="00AF4B1E">
        <w:rPr>
          <w:rFonts w:ascii="Arial" w:hAnsi="Arial" w:cs="Arial"/>
        </w:rPr>
        <w:t xml:space="preserve"> appel à manifestation d’intérêt lancé en décembre 2019 par le PETR du Pays du Perche Ornais en association avec le Plan </w:t>
      </w:r>
      <w:proofErr w:type="spellStart"/>
      <w:r w:rsidRPr="00AF4B1E">
        <w:rPr>
          <w:rFonts w:ascii="Arial" w:hAnsi="Arial" w:cs="Arial"/>
        </w:rPr>
        <w:t>Métha’Normandie</w:t>
      </w:r>
      <w:proofErr w:type="spellEnd"/>
      <w:r w:rsidRPr="00AF4B1E">
        <w:rPr>
          <w:rFonts w:ascii="Arial" w:hAnsi="Arial" w:cs="Arial"/>
        </w:rPr>
        <w:t xml:space="preserve">, de nombreuses exploitations agricoles ainsi que les élus ont manifesté leur intérêt pour développer des projets de méthanisation au sein du territoire du Perche Ornais. </w:t>
      </w:r>
    </w:p>
    <w:p w14:paraId="7F1943EC" w14:textId="033D8673" w:rsidR="005B055E" w:rsidRPr="00AF4B1E" w:rsidRDefault="0071069E" w:rsidP="0071069E">
      <w:pPr>
        <w:jc w:val="both"/>
        <w:rPr>
          <w:rFonts w:ascii="Arial" w:hAnsi="Arial" w:cs="Arial"/>
        </w:rPr>
      </w:pPr>
      <w:r w:rsidRPr="00AF4B1E">
        <w:rPr>
          <w:rFonts w:ascii="Arial" w:hAnsi="Arial" w:cs="Arial"/>
        </w:rPr>
        <w:t> </w:t>
      </w:r>
    </w:p>
    <w:p w14:paraId="7BB50F9F" w14:textId="72F39A92" w:rsidR="005B055E" w:rsidRDefault="005B055E" w:rsidP="005B055E">
      <w:pPr>
        <w:jc w:val="both"/>
        <w:rPr>
          <w:rFonts w:ascii="Arial" w:hAnsi="Arial" w:cs="Arial"/>
        </w:rPr>
      </w:pPr>
      <w:r w:rsidRPr="00AF4B1E">
        <w:rPr>
          <w:rFonts w:ascii="Arial" w:hAnsi="Arial" w:cs="Arial"/>
        </w:rPr>
        <w:t>Actuellement</w:t>
      </w:r>
      <w:r w:rsidR="0022347C">
        <w:rPr>
          <w:rFonts w:ascii="Arial" w:hAnsi="Arial" w:cs="Arial"/>
        </w:rPr>
        <w:t>,</w:t>
      </w:r>
      <w:r w:rsidR="00AF4B1E" w:rsidRPr="00AF4B1E">
        <w:rPr>
          <w:rFonts w:ascii="Arial" w:hAnsi="Arial" w:cs="Arial"/>
        </w:rPr>
        <w:t xml:space="preserve"> s</w:t>
      </w:r>
      <w:r w:rsidRPr="00AF4B1E">
        <w:rPr>
          <w:rFonts w:ascii="Arial" w:hAnsi="Arial" w:cs="Arial"/>
        </w:rPr>
        <w:t xml:space="preserve">ix projets de production et injection de biométhane ont ainsi été recensés dans ce secteur d’identité rurale et agricole, représentant une production annuelle de 150 GWh/an, pour un gisement de matières méthanisables sur le territoire du Pays du Perche Ornais représentant une production annuelle de 374 </w:t>
      </w:r>
      <w:proofErr w:type="gramStart"/>
      <w:r w:rsidRPr="00AF4B1E">
        <w:rPr>
          <w:rFonts w:ascii="Arial" w:hAnsi="Arial" w:cs="Arial"/>
        </w:rPr>
        <w:t>GWh</w:t>
      </w:r>
      <w:proofErr w:type="gramEnd"/>
      <w:r w:rsidRPr="00AF4B1E">
        <w:rPr>
          <w:rFonts w:ascii="Arial" w:hAnsi="Arial" w:cs="Arial"/>
        </w:rPr>
        <w:t xml:space="preserve"> de gaz renouvelable. Ces projets visent à produire du biométhane et à l’injecter dans le réseau de gaz,</w:t>
      </w:r>
      <w:r w:rsidRPr="00AF4B1E">
        <w:rPr>
          <w:rFonts w:ascii="Arial" w:hAnsi="Arial" w:cs="Arial"/>
          <w:color w:val="000000"/>
        </w:rPr>
        <w:t xml:space="preserve"> contribuant ainsi à verdir cette énergie, et à réduire les émissions de gaz à effet de serre</w:t>
      </w:r>
      <w:r w:rsidRPr="00AF4B1E">
        <w:rPr>
          <w:rFonts w:ascii="Arial" w:hAnsi="Arial" w:cs="Arial"/>
        </w:rPr>
        <w:t xml:space="preserve">. </w:t>
      </w:r>
    </w:p>
    <w:p w14:paraId="606021C8" w14:textId="62FCEEBD" w:rsidR="0022347C" w:rsidRPr="0022347C" w:rsidRDefault="0022347C" w:rsidP="005B055E">
      <w:pPr>
        <w:jc w:val="both"/>
        <w:rPr>
          <w:rFonts w:ascii="Arial" w:hAnsi="Arial" w:cs="Arial"/>
          <w:i/>
        </w:rPr>
      </w:pPr>
    </w:p>
    <w:p w14:paraId="4655EE7D" w14:textId="69F7C405" w:rsidR="0022347C" w:rsidRPr="0022347C" w:rsidRDefault="0022347C" w:rsidP="0022347C">
      <w:pPr>
        <w:pStyle w:val="Textebrut"/>
        <w:jc w:val="both"/>
        <w:rPr>
          <w:rFonts w:ascii="Arial" w:hAnsi="Arial" w:cs="Arial"/>
        </w:rPr>
      </w:pPr>
      <w:r w:rsidRPr="0022347C">
        <w:rPr>
          <w:rFonts w:ascii="Arial" w:hAnsi="Arial" w:cs="Arial"/>
          <w:i/>
        </w:rPr>
        <w:t xml:space="preserve">« Pour répondre aux enjeux climatiques, </w:t>
      </w:r>
      <w:bookmarkStart w:id="1" w:name="_GoBack"/>
      <w:bookmarkEnd w:id="1"/>
      <w:r w:rsidRPr="0022347C">
        <w:rPr>
          <w:rFonts w:ascii="Arial" w:hAnsi="Arial" w:cs="Arial"/>
          <w:i/>
        </w:rPr>
        <w:t>nos besoins en matière d’énergies renouvelables vont s’accroître de façon gigantesque. La méthanisation contribue directement à répondre aux besoins en énergie, si son développement est raisonné et si elle utilise des ressources existantes locales, sans détourner l’usage alimentaire des terres agricoles. La méthanisation fait pleinement partie du mix énergétique normand comme les énergies marines renouvelables, l’hydrogène, le bois énergie, le solaire ou la récupération de chaleur fatale. Elle permet aussi d’améliorer la résilience des exploitations agricoles leur permettant une diversification économique et une transition agri écologique</w:t>
      </w:r>
      <w:r w:rsidRPr="0022347C">
        <w:rPr>
          <w:rFonts w:ascii="Arial" w:hAnsi="Arial" w:cs="Arial"/>
          <w:i/>
        </w:rPr>
        <w:t xml:space="preserve"> </w:t>
      </w:r>
      <w:r w:rsidRPr="0022347C">
        <w:rPr>
          <w:rFonts w:ascii="Arial" w:hAnsi="Arial" w:cs="Arial"/>
          <w:i/>
        </w:rPr>
        <w:t>»</w:t>
      </w:r>
      <w:r w:rsidRPr="0022347C">
        <w:rPr>
          <w:rFonts w:ascii="Arial" w:hAnsi="Arial" w:cs="Arial"/>
        </w:rPr>
        <w:t xml:space="preserve"> </w:t>
      </w:r>
      <w:r>
        <w:rPr>
          <w:rFonts w:ascii="Arial" w:hAnsi="Arial" w:cs="Arial"/>
        </w:rPr>
        <w:t>d</w:t>
      </w:r>
      <w:r w:rsidRPr="0022347C">
        <w:rPr>
          <w:rFonts w:ascii="Arial" w:hAnsi="Arial" w:cs="Arial"/>
        </w:rPr>
        <w:t>éclare Hervé Morin</w:t>
      </w:r>
      <w:r>
        <w:rPr>
          <w:rFonts w:ascii="Arial" w:hAnsi="Arial" w:cs="Arial"/>
        </w:rPr>
        <w:t>, Président de la Région Normandie.</w:t>
      </w:r>
    </w:p>
    <w:p w14:paraId="5490A249" w14:textId="77777777" w:rsidR="005B055E" w:rsidRPr="00AF4B1E" w:rsidRDefault="005B055E" w:rsidP="005B055E">
      <w:pPr>
        <w:jc w:val="both"/>
        <w:rPr>
          <w:rFonts w:ascii="Arial" w:hAnsi="Arial" w:cs="Arial"/>
          <w:color w:val="000000"/>
        </w:rPr>
      </w:pPr>
    </w:p>
    <w:p w14:paraId="2D52276D" w14:textId="4EAAC3ED" w:rsidR="006B02A3" w:rsidRPr="00F950C3" w:rsidRDefault="005B055E" w:rsidP="006B02A3">
      <w:pPr>
        <w:jc w:val="both"/>
        <w:rPr>
          <w:rFonts w:ascii="Arial" w:hAnsi="Arial" w:cs="Arial"/>
          <w:color w:val="000000"/>
        </w:rPr>
      </w:pPr>
      <w:r w:rsidRPr="00AF4B1E">
        <w:rPr>
          <w:rFonts w:ascii="Arial" w:hAnsi="Arial" w:cs="Arial"/>
          <w:color w:val="000000"/>
        </w:rPr>
        <w:t xml:space="preserve">La concrétisation de ces projets d’unité de méthanisation nécessite préalablement des travaux </w:t>
      </w:r>
      <w:r w:rsidRPr="00AF4B1E">
        <w:rPr>
          <w:rFonts w:ascii="Arial" w:hAnsi="Arial" w:cs="Arial"/>
        </w:rPr>
        <w:t xml:space="preserve">d’extension </w:t>
      </w:r>
      <w:r w:rsidRPr="00AF4B1E">
        <w:rPr>
          <w:rFonts w:ascii="Arial" w:hAnsi="Arial" w:cs="Arial"/>
          <w:color w:val="000000"/>
        </w:rPr>
        <w:t xml:space="preserve">du réseau gazier et de construction d’une station de rebours. La Commission de régulation de l’énergie (CRE) a autorisé GRTgaz à lancer ces travaux de construction de la station de rebours, en complément de 49 </w:t>
      </w:r>
      <w:r w:rsidR="00AF4B1E" w:rsidRPr="00AF4B1E">
        <w:rPr>
          <w:rFonts w:ascii="Arial" w:hAnsi="Arial" w:cs="Arial"/>
          <w:color w:val="000000"/>
        </w:rPr>
        <w:t>kilomètres</w:t>
      </w:r>
      <w:r w:rsidRPr="00AF4B1E">
        <w:rPr>
          <w:rFonts w:ascii="Arial" w:hAnsi="Arial" w:cs="Arial"/>
          <w:color w:val="000000"/>
        </w:rPr>
        <w:t xml:space="preserve"> de nouveaux réseaux posés par GDRF</w:t>
      </w:r>
      <w:r w:rsidR="00AF4B1E" w:rsidRPr="00AF4B1E">
        <w:rPr>
          <w:rFonts w:ascii="Arial" w:hAnsi="Arial" w:cs="Arial"/>
          <w:color w:val="000000"/>
        </w:rPr>
        <w:t xml:space="preserve">, </w:t>
      </w:r>
      <w:r w:rsidRPr="00AF4B1E">
        <w:rPr>
          <w:rFonts w:ascii="Arial" w:hAnsi="Arial" w:cs="Arial"/>
          <w:color w:val="000000"/>
        </w:rPr>
        <w:lastRenderedPageBreak/>
        <w:t xml:space="preserve">permettant ainsi la connexion de ces unités de méthanisation dans le Perche ornais. Ces 49 </w:t>
      </w:r>
      <w:r w:rsidR="00AF4B1E" w:rsidRPr="00AF4B1E">
        <w:rPr>
          <w:rFonts w:ascii="Arial" w:hAnsi="Arial" w:cs="Arial"/>
          <w:color w:val="000000"/>
        </w:rPr>
        <w:t xml:space="preserve">kilomètres </w:t>
      </w:r>
      <w:r w:rsidRPr="00AF4B1E">
        <w:rPr>
          <w:rFonts w:ascii="Arial" w:hAnsi="Arial" w:cs="Arial"/>
          <w:color w:val="000000"/>
        </w:rPr>
        <w:t xml:space="preserve">de réseaux seront en polyéthylène « classique », enfouis, à l’instar du reste du réseau de distribution de gaz. Ils seront fabriqués par l’entreprise </w:t>
      </w:r>
      <w:proofErr w:type="spellStart"/>
      <w:r w:rsidRPr="00AF4B1E">
        <w:rPr>
          <w:rFonts w:ascii="Arial" w:hAnsi="Arial" w:cs="Arial"/>
          <w:color w:val="000000"/>
        </w:rPr>
        <w:t>Pipelife</w:t>
      </w:r>
      <w:proofErr w:type="spellEnd"/>
      <w:r w:rsidRPr="00AF4B1E">
        <w:rPr>
          <w:rFonts w:ascii="Arial" w:hAnsi="Arial" w:cs="Arial"/>
          <w:color w:val="000000"/>
        </w:rPr>
        <w:t xml:space="preserve"> à Gaillon. </w:t>
      </w:r>
      <w:bookmarkStart w:id="2" w:name="_Hlk95317186"/>
      <w:r w:rsidR="006B02A3" w:rsidRPr="00F950C3">
        <w:rPr>
          <w:rFonts w:ascii="Arial" w:hAnsi="Arial" w:cs="Arial"/>
          <w:color w:val="000000"/>
        </w:rPr>
        <w:t xml:space="preserve">Ce projet concerne les cantons de Mortagne-au-Perche, </w:t>
      </w:r>
      <w:r w:rsidR="00F950C3" w:rsidRPr="00F950C3">
        <w:rPr>
          <w:rFonts w:ascii="Arial" w:hAnsi="Arial" w:cs="Arial"/>
          <w:color w:val="000000"/>
        </w:rPr>
        <w:t>Ceton et Mamers.</w:t>
      </w:r>
    </w:p>
    <w:bookmarkEnd w:id="2"/>
    <w:p w14:paraId="7CAEA14D" w14:textId="361E925D" w:rsidR="0071069E" w:rsidRDefault="0071069E" w:rsidP="0071069E">
      <w:pPr>
        <w:jc w:val="both"/>
      </w:pPr>
    </w:p>
    <w:p w14:paraId="2D42A262" w14:textId="77777777" w:rsidR="00C41C46" w:rsidRPr="00C41C46" w:rsidRDefault="00C41C46" w:rsidP="00C41C46">
      <w:pPr>
        <w:jc w:val="both"/>
        <w:rPr>
          <w:rFonts w:ascii="Arial" w:eastAsia="Times New Roman" w:hAnsi="Arial" w:cs="Arial"/>
        </w:rPr>
      </w:pPr>
      <w:r w:rsidRPr="00C41C46">
        <w:rPr>
          <w:rFonts w:ascii="Arial" w:eastAsia="Times New Roman" w:hAnsi="Arial" w:cs="Arial"/>
          <w:shd w:val="clear" w:color="auto" w:fill="FFFFFF"/>
        </w:rPr>
        <w:t>La future station de rebours </w:t>
      </w:r>
      <w:r w:rsidRPr="00C41C46">
        <w:rPr>
          <w:rFonts w:ascii="Arial" w:hAnsi="Arial" w:cs="Arial"/>
        </w:rPr>
        <w:t xml:space="preserve">doit permettre de comprimer le biométhane en excès dans les zones de distribution locale et de le rediriger vers le réseau de transport, </w:t>
      </w:r>
      <w:r w:rsidRPr="00C41C46">
        <w:rPr>
          <w:rFonts w:ascii="Arial" w:hAnsi="Arial" w:cs="Arial"/>
          <w:bCs/>
          <w:iCs/>
        </w:rPr>
        <w:t>situé à proximité et qui traverse déjà le territoire,</w:t>
      </w:r>
      <w:r w:rsidRPr="00C41C46">
        <w:rPr>
          <w:rFonts w:ascii="Arial" w:hAnsi="Arial" w:cs="Arial"/>
        </w:rPr>
        <w:t xml:space="preserve"> afin d’être envoyé dans des zones de consommation plus éloignées. Des volumes croissants de biométhane peuvent ainsi être valorisés.</w:t>
      </w:r>
    </w:p>
    <w:p w14:paraId="4DE1B893" w14:textId="77777777" w:rsidR="00C41C46" w:rsidRPr="00C41C46" w:rsidRDefault="00C41C46" w:rsidP="00C41C46">
      <w:pPr>
        <w:jc w:val="both"/>
        <w:rPr>
          <w:rFonts w:ascii="Arial" w:hAnsi="Arial" w:cs="Arial"/>
        </w:rPr>
      </w:pPr>
    </w:p>
    <w:p w14:paraId="526EFB56" w14:textId="3CAFEE78" w:rsidR="0071069E" w:rsidRPr="00AF4B1E" w:rsidRDefault="0071069E" w:rsidP="0071069E">
      <w:pPr>
        <w:jc w:val="both"/>
      </w:pPr>
      <w:r w:rsidRPr="00AF4B1E">
        <w:rPr>
          <w:rFonts w:ascii="Arial" w:hAnsi="Arial" w:cs="Arial"/>
          <w:color w:val="000000"/>
        </w:rPr>
        <w:t>Les travaux démarreront au cours du premier semestre 2022 pour une mise en service du rebours au deuxième trimestre 2023.</w:t>
      </w:r>
      <w:r w:rsidRPr="00AF4B1E">
        <w:rPr>
          <w:rFonts w:ascii="Arial" w:hAnsi="Arial" w:cs="Arial"/>
        </w:rPr>
        <w:t xml:space="preserve"> </w:t>
      </w:r>
      <w:r w:rsidR="005B055E" w:rsidRPr="00AF4B1E">
        <w:rPr>
          <w:rFonts w:ascii="Arial" w:hAnsi="Arial" w:cs="Arial"/>
          <w:color w:val="000000"/>
        </w:rPr>
        <w:t xml:space="preserve">GRDF investira 5 millions d’euros dans les travaux d’extension du réseau de distribution, GRTgaz environ 3 millions d’euros, </w:t>
      </w:r>
      <w:r w:rsidRPr="00AF4B1E">
        <w:rPr>
          <w:rFonts w:ascii="Arial" w:hAnsi="Arial" w:cs="Arial"/>
        </w:rPr>
        <w:t xml:space="preserve">auxquels s’ajoutent la participation des tiers financeurs : 482 000 euros des porteurs de projet d’unités de méthanisation. Par ailleurs, les collectivités - dont la Région Normandie à hauteur de 100 000 €, le Territoire d’Energie de l’Orne, 50 000 € et les Communautés de Communes des Collines du Perche Normand et du Pays de Mortagne-au-Perche, 25 000 € chacune - se sont engagées dans ce projet pour financer l'étude préalable. </w:t>
      </w:r>
    </w:p>
    <w:p w14:paraId="2C4CF0A7" w14:textId="464193F6" w:rsidR="005B055E" w:rsidRPr="00AF4B1E" w:rsidRDefault="0071069E" w:rsidP="005B055E">
      <w:pPr>
        <w:jc w:val="both"/>
        <w:rPr>
          <w:rFonts w:ascii="Arial" w:hAnsi="Arial" w:cs="Arial"/>
        </w:rPr>
      </w:pPr>
      <w:r w:rsidRPr="00AF4B1E">
        <w:rPr>
          <w:rFonts w:ascii="Arial" w:hAnsi="Arial" w:cs="Arial"/>
        </w:rPr>
        <w:t> </w:t>
      </w:r>
    </w:p>
    <w:p w14:paraId="1EB8FA2E" w14:textId="44F999E8" w:rsidR="005B055E" w:rsidRPr="00AF4B1E" w:rsidRDefault="005B055E" w:rsidP="005B055E">
      <w:pPr>
        <w:jc w:val="both"/>
        <w:rPr>
          <w:rFonts w:ascii="Arial" w:hAnsi="Arial" w:cs="Arial"/>
        </w:rPr>
      </w:pPr>
      <w:r w:rsidRPr="00AF4B1E">
        <w:rPr>
          <w:rFonts w:ascii="Arial" w:hAnsi="Arial" w:cs="Arial"/>
        </w:rPr>
        <w:t>Le projet de rebours représente également une forte valeur ajoutée, en termes d’économie, et de création et de pérennisation d’emplois locaux : 300 emplois directs jusqu’en 2025 pour la construction des unités, avec des retombées économiques importantes pour l’économie locale</w:t>
      </w:r>
      <w:r w:rsidR="0022347C">
        <w:rPr>
          <w:rFonts w:ascii="Arial" w:hAnsi="Arial" w:cs="Arial"/>
        </w:rPr>
        <w:t xml:space="preserve"> ainsi que</w:t>
      </w:r>
      <w:r w:rsidRPr="00AF4B1E">
        <w:rPr>
          <w:rFonts w:ascii="Arial" w:hAnsi="Arial" w:cs="Arial"/>
        </w:rPr>
        <w:t xml:space="preserve"> 50 emplois directs pour l’exploitation et la maintenance des unités prévues. </w:t>
      </w:r>
    </w:p>
    <w:p w14:paraId="2011E3D7" w14:textId="77777777" w:rsidR="005B055E" w:rsidRDefault="005B055E" w:rsidP="0071069E">
      <w:pPr>
        <w:jc w:val="both"/>
      </w:pPr>
    </w:p>
    <w:p w14:paraId="336DED5A" w14:textId="77777777" w:rsidR="0071069E" w:rsidRDefault="0071069E" w:rsidP="0071069E">
      <w:pPr>
        <w:jc w:val="both"/>
      </w:pPr>
      <w:r>
        <w:rPr>
          <w:rFonts w:ascii="Arial" w:hAnsi="Arial" w:cs="Arial"/>
          <w:b/>
          <w:bCs/>
          <w:color w:val="000000"/>
        </w:rPr>
        <w:t>La méthanisation en Normandie</w:t>
      </w:r>
    </w:p>
    <w:p w14:paraId="1B377156" w14:textId="77777777" w:rsidR="0071069E" w:rsidRPr="00AF4B1E" w:rsidRDefault="0071069E" w:rsidP="0071069E">
      <w:pPr>
        <w:jc w:val="both"/>
      </w:pPr>
      <w:r w:rsidRPr="00AF4B1E">
        <w:rPr>
          <w:rFonts w:ascii="Arial" w:hAnsi="Arial" w:cs="Arial"/>
          <w:color w:val="000000"/>
        </w:rPr>
        <w:t xml:space="preserve">Les enjeux de réduction et de valorisation des </w:t>
      </w:r>
      <w:proofErr w:type="spellStart"/>
      <w:r w:rsidRPr="00AF4B1E">
        <w:rPr>
          <w:rFonts w:ascii="Arial" w:hAnsi="Arial" w:cs="Arial"/>
          <w:color w:val="000000"/>
        </w:rPr>
        <w:t>bio-déchets</w:t>
      </w:r>
      <w:proofErr w:type="spellEnd"/>
      <w:r w:rsidRPr="00AF4B1E">
        <w:rPr>
          <w:rFonts w:ascii="Arial" w:hAnsi="Arial" w:cs="Arial"/>
          <w:color w:val="000000"/>
        </w:rPr>
        <w:t xml:space="preserve"> constituent un axe important du Plan Régional de Prévention et Gestion des Déchets. </w:t>
      </w:r>
    </w:p>
    <w:p w14:paraId="3903A957" w14:textId="77777777" w:rsidR="0071069E" w:rsidRPr="00AF4B1E" w:rsidRDefault="0071069E" w:rsidP="0071069E">
      <w:pPr>
        <w:jc w:val="both"/>
      </w:pPr>
      <w:r w:rsidRPr="00AF4B1E">
        <w:rPr>
          <w:rFonts w:ascii="Arial" w:hAnsi="Arial" w:cs="Arial"/>
          <w:color w:val="000000"/>
        </w:rPr>
        <w:t> </w:t>
      </w:r>
    </w:p>
    <w:p w14:paraId="5C8431D1" w14:textId="480EE49B" w:rsidR="0071069E" w:rsidRPr="00AF4B1E" w:rsidRDefault="0071069E" w:rsidP="0071069E">
      <w:pPr>
        <w:pStyle w:val="NormalWeb"/>
        <w:spacing w:before="0" w:beforeAutospacing="0" w:after="0" w:afterAutospacing="0"/>
        <w:jc w:val="both"/>
        <w:rPr>
          <w:sz w:val="22"/>
          <w:szCs w:val="22"/>
        </w:rPr>
      </w:pPr>
      <w:r w:rsidRPr="00AF4B1E">
        <w:rPr>
          <w:rFonts w:ascii="Arial" w:hAnsi="Arial" w:cs="Arial"/>
          <w:color w:val="000000"/>
          <w:sz w:val="22"/>
          <w:szCs w:val="22"/>
        </w:rPr>
        <w:t>Par ailleurs, la Région Normandie a fait de la méthanisation l’une des énergies renouvelables phares sur son territoire. La Normandie offre une forte composante agricole</w:t>
      </w:r>
      <w:r w:rsidR="0022347C">
        <w:rPr>
          <w:rFonts w:ascii="Arial" w:hAnsi="Arial" w:cs="Arial"/>
          <w:color w:val="000000"/>
          <w:sz w:val="22"/>
          <w:szCs w:val="22"/>
        </w:rPr>
        <w:t xml:space="preserve"> et</w:t>
      </w:r>
      <w:r w:rsidRPr="00AF4B1E">
        <w:rPr>
          <w:rFonts w:ascii="Arial" w:hAnsi="Arial" w:cs="Arial"/>
          <w:color w:val="000000"/>
          <w:sz w:val="22"/>
          <w:szCs w:val="22"/>
        </w:rPr>
        <w:t xml:space="preserve"> un tissu industriel agro-alimentaire important, conditions propices au développement de la méthanisation : en 2022, on compte 149 unités en fonctionnement ou en construction, dont 21 en injection biométhane.</w:t>
      </w:r>
    </w:p>
    <w:p w14:paraId="5677F624" w14:textId="77777777" w:rsidR="0071069E" w:rsidRPr="00AF4B1E" w:rsidRDefault="0071069E" w:rsidP="0071069E">
      <w:pPr>
        <w:pStyle w:val="NormalWeb"/>
        <w:spacing w:before="0" w:beforeAutospacing="0" w:after="0" w:afterAutospacing="0"/>
        <w:jc w:val="both"/>
        <w:rPr>
          <w:sz w:val="22"/>
          <w:szCs w:val="22"/>
        </w:rPr>
      </w:pPr>
      <w:r w:rsidRPr="00AF4B1E">
        <w:rPr>
          <w:rFonts w:ascii="Arial" w:hAnsi="Arial" w:cs="Arial"/>
          <w:color w:val="000000"/>
          <w:sz w:val="22"/>
          <w:szCs w:val="22"/>
        </w:rPr>
        <w:t> </w:t>
      </w:r>
    </w:p>
    <w:p w14:paraId="532AAD67" w14:textId="77777777" w:rsidR="0071069E" w:rsidRPr="00AF4B1E" w:rsidRDefault="0071069E" w:rsidP="0071069E">
      <w:pPr>
        <w:pStyle w:val="NormalWeb"/>
        <w:spacing w:before="0" w:beforeAutospacing="0" w:after="0" w:afterAutospacing="0"/>
        <w:jc w:val="both"/>
        <w:rPr>
          <w:sz w:val="22"/>
          <w:szCs w:val="22"/>
        </w:rPr>
      </w:pPr>
      <w:r w:rsidRPr="00AF4B1E">
        <w:rPr>
          <w:rFonts w:ascii="Arial" w:hAnsi="Arial" w:cs="Arial"/>
          <w:color w:val="000000"/>
          <w:sz w:val="22"/>
          <w:szCs w:val="22"/>
        </w:rPr>
        <w:t>- La méthanisation contribue aux objectifs de la transition énergétique, en participant à la production de chaleur et d’électricité renouvelables et en favorisant une mobilité plus propre (</w:t>
      </w:r>
      <w:proofErr w:type="spellStart"/>
      <w:r w:rsidRPr="00AF4B1E">
        <w:rPr>
          <w:rFonts w:ascii="Arial" w:hAnsi="Arial" w:cs="Arial"/>
          <w:color w:val="000000"/>
          <w:sz w:val="22"/>
          <w:szCs w:val="22"/>
        </w:rPr>
        <w:t>bioGNV</w:t>
      </w:r>
      <w:proofErr w:type="spellEnd"/>
      <w:r w:rsidRPr="00AF4B1E">
        <w:rPr>
          <w:rFonts w:ascii="Arial" w:hAnsi="Arial" w:cs="Arial"/>
          <w:color w:val="000000"/>
          <w:sz w:val="22"/>
          <w:szCs w:val="22"/>
        </w:rPr>
        <w:t xml:space="preserve"> – biogaz naturel pour véhicules).</w:t>
      </w:r>
    </w:p>
    <w:p w14:paraId="274B1898" w14:textId="77777777" w:rsidR="0071069E" w:rsidRPr="00AF4B1E" w:rsidRDefault="0071069E" w:rsidP="0071069E">
      <w:pPr>
        <w:pStyle w:val="NormalWeb"/>
        <w:spacing w:before="0" w:beforeAutospacing="0" w:after="0" w:afterAutospacing="0"/>
        <w:jc w:val="both"/>
        <w:rPr>
          <w:sz w:val="22"/>
          <w:szCs w:val="22"/>
        </w:rPr>
      </w:pPr>
      <w:r w:rsidRPr="00AF4B1E">
        <w:rPr>
          <w:rFonts w:ascii="Arial" w:hAnsi="Arial" w:cs="Arial"/>
          <w:color w:val="000000"/>
          <w:sz w:val="22"/>
          <w:szCs w:val="22"/>
        </w:rPr>
        <w:t> </w:t>
      </w:r>
    </w:p>
    <w:p w14:paraId="06FB4056" w14:textId="77777777" w:rsidR="0071069E" w:rsidRPr="00AF4B1E" w:rsidRDefault="0071069E" w:rsidP="0071069E">
      <w:pPr>
        <w:pStyle w:val="NormalWeb"/>
        <w:spacing w:before="0" w:beforeAutospacing="0" w:after="0" w:afterAutospacing="0"/>
        <w:jc w:val="both"/>
        <w:rPr>
          <w:sz w:val="22"/>
          <w:szCs w:val="22"/>
        </w:rPr>
      </w:pPr>
      <w:r w:rsidRPr="00AF4B1E">
        <w:rPr>
          <w:rFonts w:ascii="Arial" w:hAnsi="Arial" w:cs="Arial"/>
          <w:color w:val="000000"/>
          <w:sz w:val="22"/>
          <w:szCs w:val="22"/>
        </w:rPr>
        <w:t xml:space="preserve">- La méthanisation permet de verdir une partie du gaz consommé et constitue un complément stable de revenu agricole pour les agriculteurs qui s’engagent dans cette voie. </w:t>
      </w:r>
    </w:p>
    <w:p w14:paraId="6FDFD0CC" w14:textId="77777777" w:rsidR="0071069E" w:rsidRPr="00AF4B1E" w:rsidRDefault="0071069E" w:rsidP="0071069E">
      <w:pPr>
        <w:pStyle w:val="NormalWeb"/>
        <w:spacing w:before="0" w:beforeAutospacing="0" w:after="0" w:afterAutospacing="0"/>
        <w:jc w:val="both"/>
        <w:rPr>
          <w:sz w:val="22"/>
          <w:szCs w:val="22"/>
        </w:rPr>
      </w:pPr>
      <w:r w:rsidRPr="00AF4B1E">
        <w:rPr>
          <w:rFonts w:ascii="Arial" w:hAnsi="Arial" w:cs="Arial"/>
          <w:color w:val="000000"/>
          <w:sz w:val="22"/>
          <w:szCs w:val="22"/>
        </w:rPr>
        <w:t> </w:t>
      </w:r>
    </w:p>
    <w:p w14:paraId="785A0CBB" w14:textId="5961728E" w:rsidR="0071069E" w:rsidRDefault="0071069E" w:rsidP="0071069E">
      <w:pPr>
        <w:pStyle w:val="NormalWeb"/>
        <w:spacing w:before="0" w:beforeAutospacing="0" w:after="0" w:afterAutospacing="0"/>
        <w:jc w:val="both"/>
        <w:rPr>
          <w:rFonts w:ascii="Arial" w:hAnsi="Arial" w:cs="Arial"/>
          <w:color w:val="000000"/>
          <w:sz w:val="22"/>
          <w:szCs w:val="22"/>
        </w:rPr>
      </w:pPr>
      <w:r w:rsidRPr="00AF4B1E">
        <w:rPr>
          <w:rFonts w:ascii="Arial" w:hAnsi="Arial" w:cs="Arial"/>
          <w:color w:val="000000"/>
          <w:sz w:val="22"/>
          <w:szCs w:val="22"/>
        </w:rPr>
        <w:t xml:space="preserve">- Le Plan </w:t>
      </w:r>
      <w:proofErr w:type="spellStart"/>
      <w:r w:rsidRPr="00AF4B1E">
        <w:rPr>
          <w:rFonts w:ascii="Arial" w:hAnsi="Arial" w:cs="Arial"/>
          <w:color w:val="000000"/>
          <w:sz w:val="22"/>
          <w:szCs w:val="22"/>
        </w:rPr>
        <w:t>Métha’Normandie</w:t>
      </w:r>
      <w:proofErr w:type="spellEnd"/>
      <w:r w:rsidRPr="00AF4B1E">
        <w:rPr>
          <w:rFonts w:ascii="Arial" w:hAnsi="Arial" w:cs="Arial"/>
          <w:color w:val="000000"/>
          <w:sz w:val="22"/>
          <w:szCs w:val="22"/>
        </w:rPr>
        <w:t xml:space="preserve"> a été lancé en 2018 sous l’impulsion de la Région Normandie et de l’ADEME. Sa gouvernance inclut les services et agence</w:t>
      </w:r>
      <w:r w:rsidR="0022347C">
        <w:rPr>
          <w:rFonts w:ascii="Arial" w:hAnsi="Arial" w:cs="Arial"/>
          <w:color w:val="000000"/>
          <w:sz w:val="22"/>
          <w:szCs w:val="22"/>
        </w:rPr>
        <w:t>s</w:t>
      </w:r>
      <w:r w:rsidRPr="00AF4B1E">
        <w:rPr>
          <w:rFonts w:ascii="Arial" w:hAnsi="Arial" w:cs="Arial"/>
          <w:color w:val="000000"/>
          <w:sz w:val="22"/>
          <w:szCs w:val="22"/>
        </w:rPr>
        <w:t xml:space="preserve"> de l'Etat, les cinq syndicats d’énergie normands, GRTgaz, GRDF, la Chambre Régionale d'Agriculture de Normandie, l'association Biomasse Normandie et trois banques très impliquées dans le financement des projets de méthanisation, le Crédit Agricole, le Crédit Mutuel et la BPGO. Le but commun est d’accompagner le développement de la méthanisation et la sécurisation des projets en Normandie.</w:t>
      </w:r>
    </w:p>
    <w:p w14:paraId="0A749971" w14:textId="362F2E16" w:rsidR="00D12452" w:rsidRDefault="00D12452" w:rsidP="0071069E">
      <w:pPr>
        <w:pStyle w:val="NormalWeb"/>
        <w:spacing w:before="0" w:beforeAutospacing="0" w:after="0" w:afterAutospacing="0"/>
        <w:jc w:val="both"/>
        <w:rPr>
          <w:sz w:val="22"/>
          <w:szCs w:val="22"/>
        </w:rPr>
      </w:pPr>
    </w:p>
    <w:p w14:paraId="4EBB482B" w14:textId="3B97A0FF" w:rsidR="00D12452" w:rsidRPr="00D12452" w:rsidRDefault="00D12452" w:rsidP="00D12452">
      <w:pPr>
        <w:rPr>
          <w:rFonts w:ascii="Arial" w:hAnsi="Arial" w:cs="Arial"/>
          <w:lang w:eastAsia="en-US"/>
        </w:rPr>
      </w:pPr>
      <w:proofErr w:type="gramStart"/>
      <w:r w:rsidRPr="00D12452">
        <w:rPr>
          <w:rFonts w:ascii="Arial" w:hAnsi="Arial" w:cs="Arial"/>
          <w:lang w:eastAsia="en-US"/>
        </w:rPr>
        <w:t>vidéo</w:t>
      </w:r>
      <w:proofErr w:type="gramEnd"/>
      <w:r w:rsidRPr="00D12452">
        <w:rPr>
          <w:rFonts w:ascii="Arial" w:hAnsi="Arial" w:cs="Arial"/>
          <w:lang w:eastAsia="en-US"/>
        </w:rPr>
        <w:t xml:space="preserve"> </w:t>
      </w:r>
      <w:r w:rsidRPr="00D12452">
        <w:rPr>
          <w:rFonts w:ascii="Arial" w:hAnsi="Arial" w:cs="Arial"/>
          <w:lang w:eastAsia="en-US"/>
        </w:rPr>
        <w:t>sur</w:t>
      </w:r>
      <w:r w:rsidRPr="00D12452">
        <w:rPr>
          <w:rFonts w:ascii="Arial" w:hAnsi="Arial" w:cs="Arial"/>
          <w:lang w:eastAsia="en-US"/>
        </w:rPr>
        <w:t xml:space="preserve"> le rôle d’une installation de rebours : </w:t>
      </w:r>
      <w:hyperlink r:id="rId12" w:history="1">
        <w:r w:rsidRPr="00D12452">
          <w:rPr>
            <w:rStyle w:val="Lienhypertexte"/>
            <w:rFonts w:ascii="Arial" w:hAnsi="Arial" w:cs="Arial"/>
            <w:lang w:eastAsia="en-US"/>
          </w:rPr>
          <w:t>https://www.youtube.com/watch?v=p-1510nLHu8</w:t>
        </w:r>
      </w:hyperlink>
    </w:p>
    <w:p w14:paraId="4B07D802" w14:textId="77777777" w:rsidR="00D12452" w:rsidRPr="00AF4B1E" w:rsidRDefault="00D12452" w:rsidP="0071069E">
      <w:pPr>
        <w:pStyle w:val="NormalWeb"/>
        <w:spacing w:before="0" w:beforeAutospacing="0" w:after="0" w:afterAutospacing="0"/>
        <w:jc w:val="both"/>
        <w:rPr>
          <w:sz w:val="22"/>
          <w:szCs w:val="22"/>
        </w:rPr>
      </w:pPr>
    </w:p>
    <w:p w14:paraId="31A74E0E" w14:textId="6A74C848" w:rsidR="0071069E" w:rsidRPr="00AF4B1E" w:rsidRDefault="0071069E" w:rsidP="0071069E">
      <w:pPr>
        <w:pStyle w:val="NormalWeb"/>
        <w:rPr>
          <w:sz w:val="22"/>
          <w:szCs w:val="22"/>
        </w:rPr>
      </w:pPr>
      <w:r w:rsidRPr="00AF4B1E">
        <w:rPr>
          <w:rFonts w:ascii="Arial" w:hAnsi="Arial" w:cs="Arial"/>
          <w:color w:val="000000"/>
          <w:sz w:val="22"/>
          <w:szCs w:val="22"/>
        </w:rPr>
        <w:t xml:space="preserve">Contact presse : Emmanuelle </w:t>
      </w:r>
      <w:proofErr w:type="spellStart"/>
      <w:r w:rsidRPr="00AF4B1E">
        <w:rPr>
          <w:rFonts w:ascii="Arial" w:hAnsi="Arial" w:cs="Arial"/>
          <w:color w:val="000000"/>
          <w:sz w:val="22"/>
          <w:szCs w:val="22"/>
        </w:rPr>
        <w:t>Tirilly</w:t>
      </w:r>
      <w:proofErr w:type="spellEnd"/>
      <w:r w:rsidRPr="00AF4B1E">
        <w:rPr>
          <w:rFonts w:ascii="Arial" w:hAnsi="Arial" w:cs="Arial"/>
          <w:color w:val="000000"/>
          <w:sz w:val="22"/>
          <w:szCs w:val="22"/>
        </w:rPr>
        <w:t xml:space="preserve"> – tel : 06 13 99 87 28 –</w:t>
      </w:r>
      <w:hyperlink r:id="rId13" w:history="1">
        <w:r w:rsidRPr="00AF4B1E">
          <w:rPr>
            <w:rStyle w:val="Lienhypertexte"/>
            <w:rFonts w:ascii="Arial" w:hAnsi="Arial" w:cs="Arial"/>
            <w:sz w:val="22"/>
            <w:szCs w:val="22"/>
          </w:rPr>
          <w:t>emmanuelle.tirilly@normandie.fr</w:t>
        </w:r>
      </w:hyperlink>
      <w:bookmarkEnd w:id="0"/>
    </w:p>
    <w:sectPr w:rsidR="0071069E" w:rsidRPr="00AF4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C359A"/>
    <w:multiLevelType w:val="multilevel"/>
    <w:tmpl w:val="21B8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DF"/>
    <w:rsid w:val="000C4DE5"/>
    <w:rsid w:val="0022347C"/>
    <w:rsid w:val="002630D3"/>
    <w:rsid w:val="002C241B"/>
    <w:rsid w:val="002D723B"/>
    <w:rsid w:val="003F0403"/>
    <w:rsid w:val="004867DF"/>
    <w:rsid w:val="005B055E"/>
    <w:rsid w:val="006B02A3"/>
    <w:rsid w:val="0071069E"/>
    <w:rsid w:val="0072364D"/>
    <w:rsid w:val="007D54A0"/>
    <w:rsid w:val="0098052A"/>
    <w:rsid w:val="009809EC"/>
    <w:rsid w:val="009E1E2B"/>
    <w:rsid w:val="00A71EBE"/>
    <w:rsid w:val="00AD387C"/>
    <w:rsid w:val="00AF4B1E"/>
    <w:rsid w:val="00C41C46"/>
    <w:rsid w:val="00D01BB5"/>
    <w:rsid w:val="00D12452"/>
    <w:rsid w:val="00D23D2D"/>
    <w:rsid w:val="00D96A8A"/>
    <w:rsid w:val="00F950C3"/>
    <w:rsid w:val="00FD411A"/>
    <w:rsid w:val="00FF6E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20D77"/>
  <w15:chartTrackingRefBased/>
  <w15:docId w15:val="{75D7D4C4-6099-426F-8DFE-252EAD2A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4DE5"/>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C4DE5"/>
    <w:rPr>
      <w:color w:val="0000FF"/>
      <w:u w:val="single"/>
    </w:rPr>
  </w:style>
  <w:style w:type="paragraph" w:customStyle="1" w:styleId="Default">
    <w:name w:val="Default"/>
    <w:rsid w:val="000C4DE5"/>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39"/>
    <w:rsid w:val="000C4D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0C4DE5"/>
    <w:rPr>
      <w:b/>
      <w:bCs/>
    </w:rPr>
  </w:style>
  <w:style w:type="paragraph" w:styleId="NormalWeb">
    <w:name w:val="Normal (Web)"/>
    <w:basedOn w:val="Normal"/>
    <w:uiPriority w:val="99"/>
    <w:semiHidden/>
    <w:unhideWhenUsed/>
    <w:rsid w:val="0072364D"/>
    <w:pPr>
      <w:spacing w:before="100" w:beforeAutospacing="1" w:after="100" w:afterAutospacing="1"/>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2C241B"/>
    <w:rPr>
      <w:color w:val="605E5C"/>
      <w:shd w:val="clear" w:color="auto" w:fill="E1DFDD"/>
    </w:rPr>
  </w:style>
  <w:style w:type="paragraph" w:styleId="Textebrut">
    <w:name w:val="Plain Text"/>
    <w:basedOn w:val="Normal"/>
    <w:link w:val="TextebrutCar"/>
    <w:uiPriority w:val="99"/>
    <w:semiHidden/>
    <w:unhideWhenUsed/>
    <w:rsid w:val="0022347C"/>
    <w:rPr>
      <w:lang w:eastAsia="en-US"/>
    </w:rPr>
  </w:style>
  <w:style w:type="character" w:customStyle="1" w:styleId="TextebrutCar">
    <w:name w:val="Texte brut Car"/>
    <w:basedOn w:val="Policepardfaut"/>
    <w:link w:val="Textebrut"/>
    <w:uiPriority w:val="99"/>
    <w:semiHidden/>
    <w:rsid w:val="0022347C"/>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714451">
      <w:bodyDiv w:val="1"/>
      <w:marLeft w:val="0"/>
      <w:marRight w:val="0"/>
      <w:marTop w:val="0"/>
      <w:marBottom w:val="0"/>
      <w:divBdr>
        <w:top w:val="none" w:sz="0" w:space="0" w:color="auto"/>
        <w:left w:val="none" w:sz="0" w:space="0" w:color="auto"/>
        <w:bottom w:val="none" w:sz="0" w:space="0" w:color="auto"/>
        <w:right w:val="none" w:sz="0" w:space="0" w:color="auto"/>
      </w:divBdr>
    </w:div>
    <w:div w:id="761341104">
      <w:bodyDiv w:val="1"/>
      <w:marLeft w:val="0"/>
      <w:marRight w:val="0"/>
      <w:marTop w:val="0"/>
      <w:marBottom w:val="0"/>
      <w:divBdr>
        <w:top w:val="none" w:sz="0" w:space="0" w:color="auto"/>
        <w:left w:val="none" w:sz="0" w:space="0" w:color="auto"/>
        <w:bottom w:val="none" w:sz="0" w:space="0" w:color="auto"/>
        <w:right w:val="none" w:sz="0" w:space="0" w:color="auto"/>
      </w:divBdr>
    </w:div>
    <w:div w:id="776608620">
      <w:bodyDiv w:val="1"/>
      <w:marLeft w:val="0"/>
      <w:marRight w:val="0"/>
      <w:marTop w:val="0"/>
      <w:marBottom w:val="0"/>
      <w:divBdr>
        <w:top w:val="none" w:sz="0" w:space="0" w:color="auto"/>
        <w:left w:val="none" w:sz="0" w:space="0" w:color="auto"/>
        <w:bottom w:val="none" w:sz="0" w:space="0" w:color="auto"/>
        <w:right w:val="none" w:sz="0" w:space="0" w:color="auto"/>
      </w:divBdr>
    </w:div>
    <w:div w:id="784736669">
      <w:bodyDiv w:val="1"/>
      <w:marLeft w:val="0"/>
      <w:marRight w:val="0"/>
      <w:marTop w:val="0"/>
      <w:marBottom w:val="0"/>
      <w:divBdr>
        <w:top w:val="none" w:sz="0" w:space="0" w:color="auto"/>
        <w:left w:val="none" w:sz="0" w:space="0" w:color="auto"/>
        <w:bottom w:val="none" w:sz="0" w:space="0" w:color="auto"/>
        <w:right w:val="none" w:sz="0" w:space="0" w:color="auto"/>
      </w:divBdr>
    </w:div>
    <w:div w:id="929701697">
      <w:bodyDiv w:val="1"/>
      <w:marLeft w:val="0"/>
      <w:marRight w:val="0"/>
      <w:marTop w:val="0"/>
      <w:marBottom w:val="0"/>
      <w:divBdr>
        <w:top w:val="none" w:sz="0" w:space="0" w:color="auto"/>
        <w:left w:val="none" w:sz="0" w:space="0" w:color="auto"/>
        <w:bottom w:val="none" w:sz="0" w:space="0" w:color="auto"/>
        <w:right w:val="none" w:sz="0" w:space="0" w:color="auto"/>
      </w:divBdr>
    </w:div>
    <w:div w:id="1021466558">
      <w:bodyDiv w:val="1"/>
      <w:marLeft w:val="0"/>
      <w:marRight w:val="0"/>
      <w:marTop w:val="0"/>
      <w:marBottom w:val="0"/>
      <w:divBdr>
        <w:top w:val="none" w:sz="0" w:space="0" w:color="auto"/>
        <w:left w:val="none" w:sz="0" w:space="0" w:color="auto"/>
        <w:bottom w:val="none" w:sz="0" w:space="0" w:color="auto"/>
        <w:right w:val="none" w:sz="0" w:space="0" w:color="auto"/>
      </w:divBdr>
    </w:div>
    <w:div w:id="1025596100">
      <w:bodyDiv w:val="1"/>
      <w:marLeft w:val="0"/>
      <w:marRight w:val="0"/>
      <w:marTop w:val="0"/>
      <w:marBottom w:val="0"/>
      <w:divBdr>
        <w:top w:val="none" w:sz="0" w:space="0" w:color="auto"/>
        <w:left w:val="none" w:sz="0" w:space="0" w:color="auto"/>
        <w:bottom w:val="none" w:sz="0" w:space="0" w:color="auto"/>
        <w:right w:val="none" w:sz="0" w:space="0" w:color="auto"/>
      </w:divBdr>
    </w:div>
    <w:div w:id="1034306917">
      <w:bodyDiv w:val="1"/>
      <w:marLeft w:val="0"/>
      <w:marRight w:val="0"/>
      <w:marTop w:val="0"/>
      <w:marBottom w:val="0"/>
      <w:divBdr>
        <w:top w:val="none" w:sz="0" w:space="0" w:color="auto"/>
        <w:left w:val="none" w:sz="0" w:space="0" w:color="auto"/>
        <w:bottom w:val="none" w:sz="0" w:space="0" w:color="auto"/>
        <w:right w:val="none" w:sz="0" w:space="0" w:color="auto"/>
      </w:divBdr>
    </w:div>
    <w:div w:id="1815829156">
      <w:bodyDiv w:val="1"/>
      <w:marLeft w:val="0"/>
      <w:marRight w:val="0"/>
      <w:marTop w:val="0"/>
      <w:marBottom w:val="0"/>
      <w:divBdr>
        <w:top w:val="none" w:sz="0" w:space="0" w:color="auto"/>
        <w:left w:val="none" w:sz="0" w:space="0" w:color="auto"/>
        <w:bottom w:val="none" w:sz="0" w:space="0" w:color="auto"/>
        <w:right w:val="none" w:sz="0" w:space="0" w:color="auto"/>
      </w:divBdr>
    </w:div>
    <w:div w:id="1970083399">
      <w:bodyDiv w:val="1"/>
      <w:marLeft w:val="0"/>
      <w:marRight w:val="0"/>
      <w:marTop w:val="0"/>
      <w:marBottom w:val="0"/>
      <w:divBdr>
        <w:top w:val="none" w:sz="0" w:space="0" w:color="auto"/>
        <w:left w:val="none" w:sz="0" w:space="0" w:color="auto"/>
        <w:bottom w:val="none" w:sz="0" w:space="0" w:color="auto"/>
        <w:right w:val="none" w:sz="0" w:space="0" w:color="auto"/>
      </w:divBdr>
    </w:div>
    <w:div w:id="198758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hyperlink" Target="mailto:emmanuelle.tirilly@normandie.fr"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hyperlink" Target="https://www.youtube.com/watch?v=p-1510nLHu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Pages>
  <Words>1000</Words>
  <Characters>5503</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17</cp:revision>
  <cp:lastPrinted>2022-02-09T17:19:00Z</cp:lastPrinted>
  <dcterms:created xsi:type="dcterms:W3CDTF">2022-02-04T16:33:00Z</dcterms:created>
  <dcterms:modified xsi:type="dcterms:W3CDTF">2022-02-10T15:20:00Z</dcterms:modified>
</cp:coreProperties>
</file>