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D4C1FD" w14:textId="6CB101CF" w:rsidR="002A0457" w:rsidRDefault="002A0457">
      <w:r>
        <w:rPr>
          <w:rFonts w:ascii="Arial" w:hAnsi="Arial" w:cs="Arial"/>
          <w:noProof/>
        </w:rPr>
        <w:drawing>
          <wp:inline distT="0" distB="0" distL="0" distR="0" wp14:anchorId="2258AFBF" wp14:editId="11D972C2">
            <wp:extent cx="5760720" cy="543175"/>
            <wp:effectExtent l="0" t="0" r="0" b="9525"/>
            <wp:docPr id="2" name="Image 2" descr="cid:image001.jpg@01D7F108.1A253F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cid:image001.jpg@01D7F108.1A253F4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4"/>
        <w:gridCol w:w="5098"/>
      </w:tblGrid>
      <w:tr w:rsidR="002A0457" w14:paraId="5D70EDF5" w14:textId="77777777" w:rsidTr="002A0457">
        <w:tc>
          <w:tcPr>
            <w:tcW w:w="39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7F58D" w14:textId="74A414EC" w:rsidR="002A0457" w:rsidRDefault="002A0457">
            <w:pPr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  <w:r>
              <w:rPr>
                <w:rFonts w:ascii="Arial" w:hAnsi="Arial" w:cs="Arial"/>
                <w:noProof/>
              </w:rPr>
              <w:drawing>
                <wp:inline distT="0" distB="0" distL="0" distR="0" wp14:anchorId="66B4D9F2" wp14:editId="1A16B82B">
                  <wp:extent cx="1009650" cy="942975"/>
                  <wp:effectExtent l="0" t="0" r="0" b="9525"/>
                  <wp:docPr id="4" name="Image 4" descr="cid:image002.png@01D7F1A1.1FAA92A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id:image002.png@01D7F1A1.1FAA92A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3F5FE" w14:textId="3578990B" w:rsidR="002A0457" w:rsidRDefault="002A045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319FD51" wp14:editId="7E1CE48B">
                  <wp:extent cx="1790700" cy="523875"/>
                  <wp:effectExtent l="0" t="0" r="0" b="9525"/>
                  <wp:docPr id="3" name="Image 3" descr="cid:image003.jpg@01D7F1A1.1FAA92A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cid:image003.jpg@01D7F1A1.1FAA92A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88F4EFF" w14:textId="77777777" w:rsidR="002A0457" w:rsidRDefault="002A0457" w:rsidP="002A0457">
      <w:pPr>
        <w:jc w:val="right"/>
      </w:pPr>
    </w:p>
    <w:p w14:paraId="3625BF95" w14:textId="26A2A48C" w:rsidR="002A0457" w:rsidRPr="002A0457" w:rsidRDefault="002A0457" w:rsidP="002A0457">
      <w:pPr>
        <w:jc w:val="right"/>
        <w:rPr>
          <w:rFonts w:ascii="Arial" w:hAnsi="Arial" w:cs="Arial"/>
          <w:sz w:val="22"/>
        </w:rPr>
      </w:pPr>
      <w:r w:rsidRPr="002A0457">
        <w:rPr>
          <w:rFonts w:ascii="Arial" w:hAnsi="Arial" w:cs="Arial"/>
          <w:sz w:val="22"/>
        </w:rPr>
        <w:t>Le 16 décembre 2021</w:t>
      </w:r>
    </w:p>
    <w:p w14:paraId="0F286FFB" w14:textId="281F9B09" w:rsidR="002A0457" w:rsidRDefault="002A0457"/>
    <w:p w14:paraId="5F8B767E" w14:textId="044DB1E5" w:rsidR="002A0457" w:rsidRDefault="002A0457"/>
    <w:p w14:paraId="599B0CE8" w14:textId="38AEA1C4" w:rsidR="002A0457" w:rsidRDefault="002A0457" w:rsidP="002A0457">
      <w:pPr>
        <w:jc w:val="both"/>
        <w:rPr>
          <w:rFonts w:ascii="Arial" w:hAnsi="Arial" w:cs="Arial"/>
          <w:b/>
          <w:sz w:val="28"/>
          <w:szCs w:val="22"/>
        </w:rPr>
      </w:pPr>
      <w:r w:rsidRPr="002A0457">
        <w:rPr>
          <w:rFonts w:ascii="Arial" w:hAnsi="Arial" w:cs="Arial"/>
          <w:b/>
          <w:sz w:val="28"/>
          <w:szCs w:val="22"/>
        </w:rPr>
        <w:t xml:space="preserve">La Région et </w:t>
      </w:r>
      <w:bookmarkStart w:id="0" w:name="_Hlk90471420"/>
      <w:r w:rsidRPr="002A0457">
        <w:rPr>
          <w:rFonts w:ascii="Arial" w:hAnsi="Arial" w:cs="Arial"/>
          <w:b/>
          <w:sz w:val="28"/>
          <w:szCs w:val="22"/>
        </w:rPr>
        <w:t xml:space="preserve">Territoire d’Energie Normandie </w:t>
      </w:r>
      <w:bookmarkStart w:id="1" w:name="_Hlk90547151"/>
      <w:bookmarkEnd w:id="0"/>
      <w:r w:rsidRPr="002A0457">
        <w:rPr>
          <w:rFonts w:ascii="Arial" w:hAnsi="Arial" w:cs="Arial"/>
          <w:b/>
          <w:sz w:val="28"/>
          <w:szCs w:val="22"/>
        </w:rPr>
        <w:t>s’engagent en faveur de la transition énergétique normande</w:t>
      </w:r>
    </w:p>
    <w:bookmarkEnd w:id="1"/>
    <w:p w14:paraId="1E80BBF7" w14:textId="77777777" w:rsidR="002A0457" w:rsidRDefault="002A0457" w:rsidP="002A0457">
      <w:pPr>
        <w:jc w:val="both"/>
        <w:rPr>
          <w:rFonts w:ascii="Arial" w:hAnsi="Arial" w:cs="Arial"/>
          <w:b/>
          <w:sz w:val="28"/>
          <w:szCs w:val="22"/>
        </w:rPr>
      </w:pPr>
    </w:p>
    <w:p w14:paraId="313F75B0" w14:textId="216ED5FC" w:rsidR="002A0457" w:rsidRDefault="002A0457" w:rsidP="002B00F2">
      <w:pPr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2A0457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Hervé Morin, Président de la Région Normandie, Catherine </w:t>
      </w:r>
      <w:proofErr w:type="spellStart"/>
      <w:r w:rsidRPr="002A0457">
        <w:rPr>
          <w:rFonts w:ascii="Arial" w:eastAsiaTheme="minorHAnsi" w:hAnsi="Arial" w:cs="Arial"/>
          <w:b/>
          <w:sz w:val="22"/>
          <w:szCs w:val="22"/>
          <w:lang w:eastAsia="en-US"/>
        </w:rPr>
        <w:t>Gourney</w:t>
      </w:r>
      <w:proofErr w:type="spellEnd"/>
      <w:r w:rsidRPr="002A0457">
        <w:rPr>
          <w:rFonts w:ascii="Arial" w:eastAsiaTheme="minorHAnsi" w:hAnsi="Arial" w:cs="Arial"/>
          <w:b/>
          <w:sz w:val="22"/>
          <w:szCs w:val="22"/>
          <w:lang w:eastAsia="en-US"/>
        </w:rPr>
        <w:t>-Leconte, Présidente 2021 du Territoire d’Énergie Normandie et du Syndicat Départemental d’Énergies du Calvados, Xavier H</w:t>
      </w:r>
      <w:r>
        <w:rPr>
          <w:rFonts w:ascii="Arial" w:eastAsiaTheme="minorHAnsi" w:hAnsi="Arial" w:cs="Arial"/>
          <w:b/>
          <w:sz w:val="22"/>
          <w:szCs w:val="22"/>
          <w:lang w:eastAsia="en-US"/>
        </w:rPr>
        <w:t>ubert</w:t>
      </w:r>
      <w:r w:rsidRPr="002A0457">
        <w:rPr>
          <w:rFonts w:ascii="Arial" w:eastAsiaTheme="minorHAnsi" w:hAnsi="Arial" w:cs="Arial"/>
          <w:b/>
          <w:sz w:val="22"/>
          <w:szCs w:val="22"/>
          <w:lang w:eastAsia="en-US"/>
        </w:rPr>
        <w:t>, Président du Syndicat Intercommunal d’Électricité et du Gaz de l’Eure</w:t>
      </w:r>
      <w:r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, </w:t>
      </w:r>
      <w:r w:rsidRPr="002A0457">
        <w:rPr>
          <w:rFonts w:ascii="Arial" w:eastAsiaTheme="minorHAnsi" w:hAnsi="Arial" w:cs="Arial"/>
          <w:b/>
          <w:sz w:val="22"/>
          <w:szCs w:val="22"/>
          <w:lang w:eastAsia="en-US"/>
        </w:rPr>
        <w:t>Jean-Claude B</w:t>
      </w:r>
      <w:r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raud, </w:t>
      </w:r>
      <w:r w:rsidRPr="002A0457">
        <w:rPr>
          <w:rFonts w:ascii="Arial" w:eastAsiaTheme="minorHAnsi" w:hAnsi="Arial" w:cs="Arial"/>
          <w:b/>
          <w:sz w:val="22"/>
          <w:szCs w:val="22"/>
          <w:lang w:eastAsia="en-US"/>
        </w:rPr>
        <w:t>Président du Syndicat Départemental d’Énergies de la Manche,</w:t>
      </w:r>
      <w:r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r w:rsidRPr="002A0457">
        <w:rPr>
          <w:rFonts w:ascii="Arial" w:eastAsiaTheme="minorHAnsi" w:hAnsi="Arial" w:cs="Arial"/>
          <w:b/>
          <w:sz w:val="22"/>
          <w:szCs w:val="22"/>
          <w:lang w:eastAsia="en-US"/>
        </w:rPr>
        <w:t>Philippe A</w:t>
      </w:r>
      <w:r>
        <w:rPr>
          <w:rFonts w:ascii="Arial" w:eastAsiaTheme="minorHAnsi" w:hAnsi="Arial" w:cs="Arial"/>
          <w:b/>
          <w:sz w:val="22"/>
          <w:szCs w:val="22"/>
          <w:lang w:eastAsia="en-US"/>
        </w:rPr>
        <w:t>uvray</w:t>
      </w:r>
      <w:r w:rsidRPr="002A0457">
        <w:rPr>
          <w:rFonts w:ascii="Arial" w:eastAsiaTheme="minorHAnsi" w:hAnsi="Arial" w:cs="Arial"/>
          <w:b/>
          <w:sz w:val="22"/>
          <w:szCs w:val="22"/>
          <w:lang w:eastAsia="en-US"/>
        </w:rPr>
        <w:t>, Président du Territoire d’Énergie Orne</w:t>
      </w:r>
      <w:r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, </w:t>
      </w:r>
      <w:r w:rsidRPr="002A0457">
        <w:rPr>
          <w:rFonts w:ascii="Arial" w:eastAsiaTheme="minorHAnsi" w:hAnsi="Arial" w:cs="Arial"/>
          <w:b/>
          <w:sz w:val="22"/>
          <w:szCs w:val="22"/>
          <w:lang w:eastAsia="en-US"/>
        </w:rPr>
        <w:t>et Cécile S</w:t>
      </w:r>
      <w:r>
        <w:rPr>
          <w:rFonts w:ascii="Arial" w:eastAsiaTheme="minorHAnsi" w:hAnsi="Arial" w:cs="Arial"/>
          <w:b/>
          <w:sz w:val="22"/>
          <w:szCs w:val="22"/>
          <w:lang w:eastAsia="en-US"/>
        </w:rPr>
        <w:t>ineau-</w:t>
      </w:r>
      <w:proofErr w:type="spellStart"/>
      <w:r>
        <w:rPr>
          <w:rFonts w:ascii="Arial" w:eastAsiaTheme="minorHAnsi" w:hAnsi="Arial" w:cs="Arial"/>
          <w:b/>
          <w:sz w:val="22"/>
          <w:szCs w:val="22"/>
          <w:lang w:eastAsia="en-US"/>
        </w:rPr>
        <w:t>Patry</w:t>
      </w:r>
      <w:proofErr w:type="spellEnd"/>
      <w:r w:rsidRPr="002A0457">
        <w:rPr>
          <w:rFonts w:ascii="Arial" w:eastAsiaTheme="minorHAnsi" w:hAnsi="Arial" w:cs="Arial"/>
          <w:b/>
          <w:sz w:val="22"/>
          <w:szCs w:val="22"/>
          <w:lang w:eastAsia="en-US"/>
        </w:rPr>
        <w:t>, Présidente du Syndicat Départemental d’Énergie de la Seine-Maritime</w:t>
      </w:r>
      <w:r w:rsidR="002A6E10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, étaient réunis, ce jour à l’Abbaye-aux-Dames à Caen pour </w:t>
      </w:r>
      <w:proofErr w:type="spellStart"/>
      <w:r w:rsidR="002A6E10" w:rsidRPr="002A6E10">
        <w:rPr>
          <w:rFonts w:ascii="Arial" w:eastAsiaTheme="minorHAnsi" w:hAnsi="Arial" w:cs="Arial"/>
          <w:b/>
          <w:sz w:val="22"/>
          <w:szCs w:val="22"/>
          <w:lang w:eastAsia="en-US"/>
        </w:rPr>
        <w:t>pour</w:t>
      </w:r>
      <w:proofErr w:type="spellEnd"/>
      <w:r w:rsidR="002A6E10" w:rsidRPr="002A6E10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acter ensemble les axes </w:t>
      </w:r>
      <w:r w:rsidR="002A6E10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de leur coopération future </w:t>
      </w:r>
      <w:r w:rsidR="002A6E10" w:rsidRPr="002A6E10">
        <w:rPr>
          <w:rFonts w:ascii="Arial" w:eastAsiaTheme="minorHAnsi" w:hAnsi="Arial" w:cs="Arial"/>
          <w:b/>
          <w:sz w:val="22"/>
          <w:szCs w:val="22"/>
          <w:lang w:eastAsia="en-US"/>
        </w:rPr>
        <w:t>en faveur de la transition énergétique normande</w:t>
      </w:r>
      <w:r w:rsidR="002A6E10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. </w:t>
      </w:r>
      <w:r w:rsidRPr="002A0457">
        <w:rPr>
          <w:rFonts w:ascii="Arial" w:eastAsiaTheme="minorHAnsi" w:hAnsi="Arial" w:cs="Arial"/>
          <w:b/>
          <w:sz w:val="22"/>
          <w:szCs w:val="22"/>
          <w:lang w:eastAsia="en-US"/>
        </w:rPr>
        <w:t>Après</w:t>
      </w:r>
      <w:r w:rsidR="002A6E10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la signature d’un</w:t>
      </w:r>
      <w:r w:rsidRPr="002A0457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premier accord de partenariat sur la période 2019-2021</w:t>
      </w:r>
      <w:r w:rsidR="002A6E10">
        <w:rPr>
          <w:rFonts w:ascii="Arial" w:eastAsiaTheme="minorHAnsi" w:hAnsi="Arial" w:cs="Arial"/>
          <w:b/>
          <w:sz w:val="22"/>
          <w:szCs w:val="22"/>
          <w:lang w:eastAsia="en-US"/>
        </w:rPr>
        <w:t>,</w:t>
      </w:r>
      <w:r w:rsidRPr="002A0457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b/>
          <w:sz w:val="22"/>
          <w:szCs w:val="22"/>
          <w:lang w:eastAsia="en-US"/>
        </w:rPr>
        <w:t>ce nouvel engagement pour</w:t>
      </w:r>
      <w:r w:rsidRPr="002A0457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la période 2022-2026 </w:t>
      </w:r>
      <w:r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formalise la volonté de la Région et </w:t>
      </w:r>
      <w:r w:rsidR="002A6E10">
        <w:rPr>
          <w:rFonts w:ascii="Arial" w:eastAsiaTheme="minorHAnsi" w:hAnsi="Arial" w:cs="Arial"/>
          <w:b/>
          <w:sz w:val="22"/>
          <w:szCs w:val="22"/>
          <w:lang w:eastAsia="en-US"/>
        </w:rPr>
        <w:t>des syndicats d’énergie normands</w:t>
      </w:r>
      <w:r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de </w:t>
      </w:r>
      <w:r w:rsidRPr="002A0457">
        <w:rPr>
          <w:rFonts w:ascii="Arial" w:eastAsiaTheme="minorHAnsi" w:hAnsi="Arial" w:cs="Arial"/>
          <w:b/>
          <w:sz w:val="22"/>
          <w:szCs w:val="22"/>
          <w:lang w:eastAsia="en-US"/>
        </w:rPr>
        <w:t>renforcer leurs actions communes</w:t>
      </w:r>
      <w:r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sur cette thématique</w:t>
      </w:r>
      <w:r w:rsidRPr="002A0457">
        <w:rPr>
          <w:rFonts w:ascii="Arial" w:eastAsiaTheme="minorHAnsi" w:hAnsi="Arial" w:cs="Arial"/>
          <w:b/>
          <w:sz w:val="22"/>
          <w:szCs w:val="22"/>
          <w:lang w:eastAsia="en-US"/>
        </w:rPr>
        <w:t>.</w:t>
      </w:r>
    </w:p>
    <w:p w14:paraId="0358CE6D" w14:textId="77777777" w:rsidR="002B00F2" w:rsidRPr="002A0457" w:rsidRDefault="002B00F2" w:rsidP="002B00F2">
      <w:pPr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bookmarkStart w:id="2" w:name="_GoBack"/>
      <w:bookmarkEnd w:id="2"/>
    </w:p>
    <w:p w14:paraId="557AD551" w14:textId="64565E30" w:rsidR="002A6E10" w:rsidRDefault="002A6E10" w:rsidP="002A6E10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« La première convention que nous avons </w:t>
      </w:r>
      <w:r w:rsidRPr="002A6E10">
        <w:rPr>
          <w:rFonts w:ascii="Arial" w:hAnsi="Arial" w:cs="Arial"/>
          <w:i/>
          <w:iCs/>
        </w:rPr>
        <w:t>signé</w:t>
      </w:r>
      <w:r w:rsidRPr="002A6E10">
        <w:rPr>
          <w:rFonts w:ascii="Arial" w:hAnsi="Arial" w:cs="Arial"/>
          <w:bCs/>
          <w:i/>
          <w:iCs/>
        </w:rPr>
        <w:t>e</w:t>
      </w:r>
      <w:r w:rsidRPr="002A6E10">
        <w:rPr>
          <w:rFonts w:ascii="Arial" w:hAnsi="Arial" w:cs="Arial"/>
          <w:i/>
          <w:iCs/>
        </w:rPr>
        <w:t xml:space="preserve"> pour la période 2019-2021 avec Territoire d’Énergie Normandie a permis de mettre en convergen</w:t>
      </w:r>
      <w:r>
        <w:rPr>
          <w:rFonts w:ascii="Arial" w:hAnsi="Arial" w:cs="Arial"/>
          <w:i/>
          <w:iCs/>
        </w:rPr>
        <w:t xml:space="preserve">ce l’action de la Région et des 5 syndicats d’énergie normands et de réellement faire progresser le développement des </w:t>
      </w:r>
      <w:proofErr w:type="spellStart"/>
      <w:r>
        <w:rPr>
          <w:rFonts w:ascii="Arial" w:hAnsi="Arial" w:cs="Arial"/>
          <w:i/>
          <w:iCs/>
        </w:rPr>
        <w:t>EnR</w:t>
      </w:r>
      <w:proofErr w:type="spellEnd"/>
      <w:r>
        <w:rPr>
          <w:rFonts w:ascii="Arial" w:hAnsi="Arial" w:cs="Arial"/>
          <w:i/>
          <w:iCs/>
        </w:rPr>
        <w:t xml:space="preserve">, la mobilité durable ainsi que les stratégies territoriales de transition </w:t>
      </w:r>
      <w:r w:rsidRPr="002A6E10">
        <w:rPr>
          <w:rFonts w:ascii="Arial" w:hAnsi="Arial" w:cs="Arial"/>
          <w:i/>
          <w:iCs/>
        </w:rPr>
        <w:t xml:space="preserve">énergétique. Sur ces trois ans, </w:t>
      </w:r>
      <w:r w:rsidRPr="002A6E10">
        <w:rPr>
          <w:rFonts w:ascii="Arial" w:hAnsi="Arial" w:cs="Arial"/>
          <w:bCs/>
          <w:i/>
          <w:iCs/>
        </w:rPr>
        <w:t>c’est</w:t>
      </w:r>
      <w:r w:rsidRPr="002A6E10">
        <w:rPr>
          <w:rFonts w:ascii="Arial" w:hAnsi="Arial" w:cs="Arial"/>
          <w:i/>
          <w:iCs/>
        </w:rPr>
        <w:t xml:space="preserve"> un montant total d’investissement de 74,6 millions d’euros </w:t>
      </w:r>
      <w:r w:rsidRPr="002A6E10">
        <w:rPr>
          <w:rFonts w:ascii="Arial" w:hAnsi="Arial" w:cs="Arial"/>
          <w:bCs/>
          <w:i/>
          <w:iCs/>
        </w:rPr>
        <w:t>qui a été investi par la Région, l’Europe et les syndicats d’énergie dans le cadre de cette convention</w:t>
      </w:r>
      <w:r w:rsidRPr="002A6E10">
        <w:rPr>
          <w:rFonts w:ascii="Arial" w:hAnsi="Arial" w:cs="Arial"/>
          <w:i/>
          <w:iCs/>
        </w:rPr>
        <w:t xml:space="preserve"> !</w:t>
      </w:r>
      <w:r w:rsidRPr="002A6E10">
        <w:t xml:space="preserve">  </w:t>
      </w:r>
      <w:r w:rsidRPr="002A6E10">
        <w:rPr>
          <w:rFonts w:ascii="Arial" w:hAnsi="Arial" w:cs="Arial"/>
          <w:i/>
          <w:iCs/>
        </w:rPr>
        <w:t xml:space="preserve">Le nouvel accord de partenariat que nous signons aujourd’hui doit nous permettre de pérenniser et </w:t>
      </w:r>
      <w:r>
        <w:rPr>
          <w:rFonts w:ascii="Arial" w:hAnsi="Arial" w:cs="Arial"/>
          <w:i/>
          <w:iCs/>
        </w:rPr>
        <w:t xml:space="preserve">de renforcer cette dynamique. Les 4 axes de travail que nous nous fixons sont fondamentaux pour atteindre les objectifs du SRADDET normand, qui traduisent eux-mêmes les grands objectifs que nous poursuivons pour répondre aux enjeux soulevés par le GIEC Normand que nous avons créé fin 2019. La réduction des émissions de gaz à effet de serre, donc des consommations énergétiques, ainsi que le développement des </w:t>
      </w:r>
      <w:proofErr w:type="spellStart"/>
      <w:r>
        <w:rPr>
          <w:rFonts w:ascii="Arial" w:hAnsi="Arial" w:cs="Arial"/>
          <w:i/>
          <w:iCs/>
        </w:rPr>
        <w:t>EnR</w:t>
      </w:r>
      <w:proofErr w:type="spellEnd"/>
      <w:r>
        <w:rPr>
          <w:rFonts w:ascii="Arial" w:hAnsi="Arial" w:cs="Arial"/>
          <w:i/>
          <w:iCs/>
        </w:rPr>
        <w:t xml:space="preserve"> aux côtés du développement de l’électricité d’origine nucléaire, sont absolument nécessaires si nous voulons être au rendez-vous de la limitation du réchauffement global sous les 2°C » </w:t>
      </w:r>
      <w:r>
        <w:rPr>
          <w:rFonts w:ascii="Arial" w:hAnsi="Arial" w:cs="Arial"/>
        </w:rPr>
        <w:t xml:space="preserve">a déclaré Hervé Morin, Président de la Région Normandie. </w:t>
      </w:r>
    </w:p>
    <w:p w14:paraId="559EB359" w14:textId="77777777" w:rsidR="001A25BB" w:rsidRDefault="001A25BB" w:rsidP="001A25BB">
      <w:pPr>
        <w:jc w:val="both"/>
        <w:rPr>
          <w:rFonts w:ascii="Arial" w:hAnsi="Arial" w:cs="Arial"/>
          <w:sz w:val="22"/>
          <w:szCs w:val="22"/>
        </w:rPr>
      </w:pPr>
    </w:p>
    <w:p w14:paraId="72D7A308" w14:textId="551D9267" w:rsidR="001A25BB" w:rsidRPr="002A0457" w:rsidRDefault="001A25BB" w:rsidP="001A25BB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1A25BB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’accord de partenariat 2022-2026 entre l</w:t>
      </w:r>
      <w:r w:rsidRPr="001A25BB">
        <w:rPr>
          <w:rFonts w:ascii="Arial" w:hAnsi="Arial" w:cs="Arial"/>
          <w:sz w:val="22"/>
          <w:szCs w:val="22"/>
        </w:rPr>
        <w:t xml:space="preserve">a Région et Territoire d’Energie Normandie </w:t>
      </w:r>
      <w:r w:rsidRPr="002A0457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’articule autour des</w:t>
      </w:r>
      <w:r w:rsidRPr="002A0457">
        <w:rPr>
          <w:rFonts w:ascii="Arial" w:hAnsi="Arial" w:cs="Arial"/>
          <w:sz w:val="22"/>
          <w:szCs w:val="22"/>
        </w:rPr>
        <w:t xml:space="preserve"> 4 axes </w:t>
      </w:r>
      <w:r>
        <w:rPr>
          <w:rFonts w:ascii="Arial" w:hAnsi="Arial" w:cs="Arial"/>
          <w:sz w:val="22"/>
          <w:szCs w:val="22"/>
        </w:rPr>
        <w:t xml:space="preserve">de travail </w:t>
      </w:r>
      <w:r w:rsidRPr="002A0457">
        <w:rPr>
          <w:rFonts w:ascii="Arial" w:hAnsi="Arial" w:cs="Arial"/>
          <w:sz w:val="22"/>
          <w:szCs w:val="22"/>
        </w:rPr>
        <w:t>suivants</w:t>
      </w:r>
      <w:r>
        <w:rPr>
          <w:rFonts w:ascii="Arial" w:hAnsi="Arial" w:cs="Arial"/>
          <w:sz w:val="22"/>
          <w:szCs w:val="22"/>
        </w:rPr>
        <w:t> :</w:t>
      </w:r>
    </w:p>
    <w:p w14:paraId="0C26A952" w14:textId="6BF8B11F" w:rsidR="001A25BB" w:rsidRPr="001A25BB" w:rsidRDefault="001A25BB" w:rsidP="001A25BB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</w:rPr>
      </w:pPr>
      <w:r w:rsidRPr="002A0457">
        <w:rPr>
          <w:rFonts w:ascii="Arial" w:hAnsi="Arial" w:cs="Arial"/>
          <w:b/>
        </w:rPr>
        <w:t>Animer, informer et accompagner les territoires dans leur transition énergétique</w:t>
      </w:r>
      <w:r>
        <w:rPr>
          <w:rFonts w:ascii="Arial" w:hAnsi="Arial" w:cs="Arial"/>
          <w:b/>
        </w:rPr>
        <w:t xml:space="preserve">, </w:t>
      </w:r>
      <w:r w:rsidRPr="001A25BB">
        <w:rPr>
          <w:rFonts w:ascii="Arial" w:hAnsi="Arial" w:cs="Arial"/>
        </w:rPr>
        <w:t>à travers notamment la</w:t>
      </w:r>
      <w:r>
        <w:rPr>
          <w:rFonts w:ascii="Arial" w:hAnsi="Arial" w:cs="Arial"/>
          <w:b/>
        </w:rPr>
        <w:t xml:space="preserve"> </w:t>
      </w:r>
      <w:r w:rsidRPr="001A25BB">
        <w:rPr>
          <w:rFonts w:ascii="Arial" w:hAnsi="Arial" w:cs="Arial"/>
        </w:rPr>
        <w:t>mobilis</w:t>
      </w:r>
      <w:r>
        <w:rPr>
          <w:rFonts w:ascii="Arial" w:hAnsi="Arial" w:cs="Arial"/>
        </w:rPr>
        <w:t>ation</w:t>
      </w:r>
      <w:r w:rsidRPr="001A25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Pr="001A25BB">
        <w:rPr>
          <w:rFonts w:ascii="Arial" w:hAnsi="Arial" w:cs="Arial"/>
        </w:rPr>
        <w:t>es élus locaux sur les sujets de la transition énergétique et les orientations de la Région</w:t>
      </w:r>
      <w:r>
        <w:rPr>
          <w:rFonts w:ascii="Arial" w:hAnsi="Arial" w:cs="Arial"/>
        </w:rPr>
        <w:t>, le développement du</w:t>
      </w:r>
      <w:r w:rsidRPr="001A25BB">
        <w:rPr>
          <w:rFonts w:ascii="Arial" w:hAnsi="Arial" w:cs="Arial"/>
        </w:rPr>
        <w:t xml:space="preserve"> conseil et </w:t>
      </w:r>
      <w:r>
        <w:rPr>
          <w:rFonts w:ascii="Arial" w:hAnsi="Arial" w:cs="Arial"/>
        </w:rPr>
        <w:t xml:space="preserve">de </w:t>
      </w:r>
      <w:r w:rsidRPr="001A25BB">
        <w:rPr>
          <w:rFonts w:ascii="Arial" w:hAnsi="Arial" w:cs="Arial"/>
        </w:rPr>
        <w:t>l’expertise aux collectivités en matière d’énergie renouvelable et de sobriété et d’efficacité énergétique du patrimoine public.</w:t>
      </w:r>
    </w:p>
    <w:p w14:paraId="423A6B7B" w14:textId="77777777" w:rsidR="001A25BB" w:rsidRPr="002A0457" w:rsidRDefault="001A25BB" w:rsidP="001A25BB">
      <w:pPr>
        <w:jc w:val="both"/>
        <w:rPr>
          <w:rFonts w:ascii="Arial" w:hAnsi="Arial" w:cs="Arial"/>
          <w:sz w:val="22"/>
          <w:szCs w:val="22"/>
        </w:rPr>
      </w:pPr>
    </w:p>
    <w:p w14:paraId="563A2C78" w14:textId="77777777" w:rsidR="001A25BB" w:rsidRPr="002A0457" w:rsidRDefault="001A25BB" w:rsidP="001A25BB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</w:rPr>
      </w:pPr>
      <w:r w:rsidRPr="002A0457">
        <w:rPr>
          <w:rFonts w:ascii="Arial" w:hAnsi="Arial" w:cs="Arial"/>
          <w:b/>
        </w:rPr>
        <w:t>Développer les actions de sobriété et d’efficacité énergétique :</w:t>
      </w:r>
    </w:p>
    <w:p w14:paraId="10C8C8D2" w14:textId="2981C396" w:rsidR="001A25BB" w:rsidRPr="002A0457" w:rsidRDefault="001A25BB" w:rsidP="001A25BB">
      <w:pPr>
        <w:pStyle w:val="Paragraphedeliste"/>
        <w:numPr>
          <w:ilvl w:val="1"/>
          <w:numId w:val="3"/>
        </w:numPr>
        <w:spacing w:after="0" w:line="240" w:lineRule="auto"/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Soutien aux</w:t>
      </w:r>
      <w:r w:rsidRPr="002A0457">
        <w:rPr>
          <w:rFonts w:ascii="Arial" w:hAnsi="Arial" w:cs="Arial"/>
        </w:rPr>
        <w:t xml:space="preserve"> démarches territoriales et stratégiques menées par les </w:t>
      </w:r>
      <w:r>
        <w:rPr>
          <w:rFonts w:ascii="Arial" w:hAnsi="Arial" w:cs="Arial"/>
        </w:rPr>
        <w:t>intercommunalités</w:t>
      </w:r>
      <w:r w:rsidRPr="002A0457">
        <w:rPr>
          <w:rFonts w:ascii="Arial" w:hAnsi="Arial" w:cs="Arial"/>
        </w:rPr>
        <w:t xml:space="preserve"> en faveur de la rénovation énergétique performante du patrimoine public (financement des audits groupés, des schémas directeurs immobiliers) ;</w:t>
      </w:r>
    </w:p>
    <w:p w14:paraId="73AA4AE2" w14:textId="1EA4428B" w:rsidR="001A25BB" w:rsidRPr="002A0457" w:rsidRDefault="001A25BB" w:rsidP="001A25BB">
      <w:pPr>
        <w:pStyle w:val="Paragraphedeliste"/>
        <w:numPr>
          <w:ilvl w:val="1"/>
          <w:numId w:val="3"/>
        </w:numPr>
        <w:spacing w:after="0" w:line="240" w:lineRule="auto"/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>Favoriser</w:t>
      </w:r>
      <w:r w:rsidRPr="002A0457">
        <w:rPr>
          <w:rFonts w:ascii="Arial" w:hAnsi="Arial" w:cs="Arial"/>
        </w:rPr>
        <w:t xml:space="preserve"> la rénovation énergétique du patrimoine public </w:t>
      </w:r>
      <w:r>
        <w:rPr>
          <w:rFonts w:ascii="Arial" w:hAnsi="Arial" w:cs="Arial"/>
        </w:rPr>
        <w:t>en accompagnement notamment les communes</w:t>
      </w:r>
      <w:r w:rsidRPr="001A25BB">
        <w:rPr>
          <w:rFonts w:ascii="Arial" w:hAnsi="Arial" w:cs="Arial"/>
        </w:rPr>
        <w:t xml:space="preserve"> dans la mise en œuvre des objectifs du dispositif Eco-Energie Tertiaire (identification des bâtiments à rénover, remontée des données sur la plateforme OPERAT, accompagnement à l’élaboration de plans d’actions) </w:t>
      </w:r>
      <w:r>
        <w:rPr>
          <w:rFonts w:ascii="Arial" w:hAnsi="Arial" w:cs="Arial"/>
        </w:rPr>
        <w:t xml:space="preserve">ou en impulsant </w:t>
      </w:r>
      <w:r w:rsidRPr="001A25BB">
        <w:rPr>
          <w:rFonts w:ascii="Arial" w:hAnsi="Arial" w:cs="Arial"/>
        </w:rPr>
        <w:t>des programmes de rénovation auprès des collectivités</w:t>
      </w:r>
      <w:r>
        <w:rPr>
          <w:rFonts w:ascii="Arial" w:hAnsi="Arial" w:cs="Arial"/>
        </w:rPr>
        <w:t>.</w:t>
      </w:r>
    </w:p>
    <w:p w14:paraId="306356E8" w14:textId="2FFD4EC3" w:rsidR="001A25BB" w:rsidRPr="001A25BB" w:rsidRDefault="001A25BB" w:rsidP="001A25BB">
      <w:pPr>
        <w:pStyle w:val="Paragraphedeliste"/>
        <w:spacing w:after="0" w:line="240" w:lineRule="auto"/>
        <w:ind w:left="993"/>
        <w:jc w:val="both"/>
        <w:rPr>
          <w:rFonts w:ascii="Arial" w:hAnsi="Arial" w:cs="Arial"/>
        </w:rPr>
      </w:pPr>
    </w:p>
    <w:p w14:paraId="1BCB90B0" w14:textId="689AD91A" w:rsidR="001A25BB" w:rsidRPr="001A25BB" w:rsidRDefault="001A25BB" w:rsidP="001A25BB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Encourager</w:t>
      </w:r>
      <w:r w:rsidRPr="002A0457">
        <w:rPr>
          <w:rFonts w:ascii="Arial" w:hAnsi="Arial" w:cs="Arial"/>
          <w:b/>
        </w:rPr>
        <w:t xml:space="preserve"> la production d’énergies renouvelables</w:t>
      </w:r>
      <w:r>
        <w:rPr>
          <w:rFonts w:ascii="Arial" w:hAnsi="Arial" w:cs="Arial"/>
          <w:b/>
        </w:rPr>
        <w:t xml:space="preserve">, </w:t>
      </w:r>
      <w:r w:rsidRPr="0075575F">
        <w:rPr>
          <w:rFonts w:ascii="Arial" w:hAnsi="Arial" w:cs="Arial"/>
        </w:rPr>
        <w:t>grâce notamment au développement des services d’ingénierie, de conseil et d’expertise à destination des collectivités, le soutien à la mise en œuvre des projets (</w:t>
      </w:r>
      <w:r w:rsidR="0075575F">
        <w:rPr>
          <w:rFonts w:ascii="Arial" w:hAnsi="Arial" w:cs="Arial"/>
        </w:rPr>
        <w:t>i</w:t>
      </w:r>
      <w:r w:rsidR="0075575F" w:rsidRPr="0075575F">
        <w:rPr>
          <w:rFonts w:ascii="Arial" w:hAnsi="Arial" w:cs="Arial"/>
        </w:rPr>
        <w:t>dentifi</w:t>
      </w:r>
      <w:r w:rsidR="0075575F">
        <w:rPr>
          <w:rFonts w:ascii="Arial" w:hAnsi="Arial" w:cs="Arial"/>
        </w:rPr>
        <w:t>cation</w:t>
      </w:r>
      <w:r w:rsidR="0075575F" w:rsidRPr="0075575F">
        <w:rPr>
          <w:rFonts w:ascii="Arial" w:hAnsi="Arial" w:cs="Arial"/>
        </w:rPr>
        <w:t xml:space="preserve"> des gisements mobilisable</w:t>
      </w:r>
      <w:r w:rsidR="0075575F">
        <w:rPr>
          <w:rFonts w:ascii="Arial" w:hAnsi="Arial" w:cs="Arial"/>
        </w:rPr>
        <w:t>s</w:t>
      </w:r>
      <w:r w:rsidRPr="001A25BB">
        <w:rPr>
          <w:rFonts w:ascii="Arial" w:hAnsi="Arial" w:cs="Arial"/>
        </w:rPr>
        <w:t>, financement, portage de la maîtrise d’ouvrage, exploitation, etc…) ;</w:t>
      </w:r>
    </w:p>
    <w:p w14:paraId="7477AA4E" w14:textId="77777777" w:rsidR="001A25BB" w:rsidRPr="002A0457" w:rsidRDefault="001A25BB" w:rsidP="001A25BB">
      <w:pPr>
        <w:pStyle w:val="Paragraphedeliste"/>
        <w:rPr>
          <w:rFonts w:ascii="Arial" w:hAnsi="Arial" w:cs="Arial"/>
        </w:rPr>
      </w:pPr>
    </w:p>
    <w:p w14:paraId="2DCD73E3" w14:textId="77777777" w:rsidR="001A25BB" w:rsidRPr="002A0457" w:rsidRDefault="001A25BB" w:rsidP="001A25BB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</w:rPr>
      </w:pPr>
      <w:r w:rsidRPr="002A0457">
        <w:rPr>
          <w:rFonts w:ascii="Arial" w:hAnsi="Arial" w:cs="Arial"/>
          <w:b/>
        </w:rPr>
        <w:t>Développer les mobilités bas-carbone en Normandie.</w:t>
      </w:r>
    </w:p>
    <w:p w14:paraId="3DE3A78D" w14:textId="383DF546" w:rsidR="001A25BB" w:rsidRPr="0075575F" w:rsidRDefault="0075575F" w:rsidP="0075575F">
      <w:pPr>
        <w:pStyle w:val="Paragraphedeliste"/>
        <w:numPr>
          <w:ilvl w:val="1"/>
          <w:numId w:val="3"/>
        </w:numPr>
        <w:spacing w:after="0" w:line="240" w:lineRule="auto"/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1A25BB" w:rsidRPr="0075575F">
        <w:rPr>
          <w:rFonts w:ascii="Arial" w:hAnsi="Arial" w:cs="Arial"/>
        </w:rPr>
        <w:t>valuation du déploiement du réseau d’IRVE en Normandie ;</w:t>
      </w:r>
    </w:p>
    <w:p w14:paraId="619FAF20" w14:textId="3A7D391D" w:rsidR="001A25BB" w:rsidRPr="002A0457" w:rsidRDefault="0075575F" w:rsidP="001A25BB">
      <w:pPr>
        <w:pStyle w:val="Paragraphedeliste"/>
        <w:numPr>
          <w:ilvl w:val="1"/>
          <w:numId w:val="3"/>
        </w:numPr>
        <w:spacing w:after="0" w:line="240" w:lineRule="auto"/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>Encourager</w:t>
      </w:r>
      <w:r w:rsidR="001A25BB" w:rsidRPr="002A0457">
        <w:rPr>
          <w:rFonts w:ascii="Arial" w:hAnsi="Arial" w:cs="Arial"/>
        </w:rPr>
        <w:t xml:space="preserve"> l’approche multi-énergies des stations de recharge bas carbone et développer les flottes d’usagers de ces stations ;</w:t>
      </w:r>
    </w:p>
    <w:p w14:paraId="460E55D6" w14:textId="7104EE6A" w:rsidR="001A25BB" w:rsidRPr="002A0457" w:rsidRDefault="001A25BB" w:rsidP="001A25BB">
      <w:pPr>
        <w:pStyle w:val="Paragraphedeliste"/>
        <w:numPr>
          <w:ilvl w:val="1"/>
          <w:numId w:val="3"/>
        </w:numPr>
        <w:spacing w:after="0" w:line="240" w:lineRule="auto"/>
        <w:ind w:left="993"/>
        <w:jc w:val="both"/>
        <w:rPr>
          <w:rFonts w:ascii="Arial" w:hAnsi="Arial" w:cs="Arial"/>
        </w:rPr>
      </w:pPr>
      <w:r w:rsidRPr="002A0457">
        <w:rPr>
          <w:rFonts w:ascii="Arial" w:hAnsi="Arial" w:cs="Arial"/>
        </w:rPr>
        <w:t>Travailler au développement simultané et coordonné des infrastructures de recharge bas carbone en adéquation avec des quotas de cars GNV/</w:t>
      </w:r>
      <w:proofErr w:type="spellStart"/>
      <w:r w:rsidRPr="002A0457">
        <w:rPr>
          <w:rFonts w:ascii="Arial" w:hAnsi="Arial" w:cs="Arial"/>
        </w:rPr>
        <w:t>bioGNV</w:t>
      </w:r>
      <w:proofErr w:type="spellEnd"/>
      <w:r w:rsidRPr="002A0457">
        <w:rPr>
          <w:rFonts w:ascii="Arial" w:hAnsi="Arial" w:cs="Arial"/>
        </w:rPr>
        <w:t xml:space="preserve"> ou hydrogène dans les appels d’offres de transport scolaire et interurbain initiés par la Région, soutenir le développement de ces infrastructures ;</w:t>
      </w:r>
    </w:p>
    <w:p w14:paraId="2EFFCC35" w14:textId="77777777" w:rsidR="001A25BB" w:rsidRPr="002A0457" w:rsidRDefault="001A25BB" w:rsidP="001A25BB">
      <w:pPr>
        <w:pStyle w:val="Paragraphedeliste"/>
        <w:numPr>
          <w:ilvl w:val="1"/>
          <w:numId w:val="3"/>
        </w:numPr>
        <w:spacing w:after="0" w:line="240" w:lineRule="auto"/>
        <w:ind w:left="993"/>
        <w:jc w:val="both"/>
        <w:rPr>
          <w:rFonts w:ascii="Arial" w:hAnsi="Arial" w:cs="Arial"/>
        </w:rPr>
      </w:pPr>
      <w:r w:rsidRPr="002A0457">
        <w:rPr>
          <w:rFonts w:ascii="Arial" w:hAnsi="Arial" w:cs="Arial"/>
        </w:rPr>
        <w:t xml:space="preserve">Soutenir l’acquisition et installation de stations de recharge hydrogène, </w:t>
      </w:r>
      <w:proofErr w:type="spellStart"/>
      <w:r w:rsidRPr="002A0457">
        <w:rPr>
          <w:rFonts w:ascii="Arial" w:hAnsi="Arial" w:cs="Arial"/>
        </w:rPr>
        <w:t>bioGNV</w:t>
      </w:r>
      <w:proofErr w:type="spellEnd"/>
      <w:r w:rsidRPr="002A0457">
        <w:rPr>
          <w:rFonts w:ascii="Arial" w:hAnsi="Arial" w:cs="Arial"/>
        </w:rPr>
        <w:t xml:space="preserve">, </w:t>
      </w:r>
      <w:proofErr w:type="spellStart"/>
      <w:r w:rsidRPr="002A0457">
        <w:rPr>
          <w:rFonts w:ascii="Arial" w:hAnsi="Arial" w:cs="Arial"/>
        </w:rPr>
        <w:t>multiénergies</w:t>
      </w:r>
      <w:proofErr w:type="spellEnd"/>
      <w:r w:rsidRPr="002A0457">
        <w:rPr>
          <w:rFonts w:ascii="Arial" w:hAnsi="Arial" w:cs="Arial"/>
        </w:rPr>
        <w:t xml:space="preserve">. </w:t>
      </w:r>
    </w:p>
    <w:p w14:paraId="08A87C86" w14:textId="15E15458" w:rsidR="0075575F" w:rsidRDefault="0075575F" w:rsidP="001A25BB">
      <w:pPr>
        <w:jc w:val="both"/>
        <w:rPr>
          <w:rFonts w:ascii="Arial" w:hAnsi="Arial" w:cs="Arial"/>
          <w:sz w:val="22"/>
          <w:szCs w:val="22"/>
        </w:rPr>
      </w:pPr>
    </w:p>
    <w:p w14:paraId="006D6726" w14:textId="77777777" w:rsidR="0075575F" w:rsidRDefault="0075575F" w:rsidP="001A25BB">
      <w:pPr>
        <w:jc w:val="both"/>
        <w:rPr>
          <w:rFonts w:ascii="Arial" w:hAnsi="Arial" w:cs="Arial"/>
          <w:sz w:val="22"/>
          <w:szCs w:val="22"/>
        </w:rPr>
      </w:pPr>
    </w:p>
    <w:p w14:paraId="31B4567B" w14:textId="77777777" w:rsidR="00C40152" w:rsidRDefault="00C40152" w:rsidP="002A0457">
      <w:pPr>
        <w:jc w:val="both"/>
        <w:rPr>
          <w:rFonts w:ascii="Arial" w:hAnsi="Arial" w:cs="Arial"/>
          <w:b/>
          <w:sz w:val="26"/>
          <w:szCs w:val="26"/>
          <w:u w:val="single"/>
        </w:rPr>
      </w:pPr>
      <w:r w:rsidRPr="00C40152">
        <w:rPr>
          <w:rFonts w:ascii="Arial" w:hAnsi="Arial" w:cs="Arial"/>
          <w:b/>
          <w:sz w:val="26"/>
          <w:szCs w:val="26"/>
          <w:u w:val="single"/>
        </w:rPr>
        <w:t xml:space="preserve">Chiffres clés de l’accord de coopération 2019-2021 </w:t>
      </w:r>
    </w:p>
    <w:p w14:paraId="6C4F6ADA" w14:textId="77777777" w:rsidR="00C40152" w:rsidRDefault="00C40152" w:rsidP="002A0457">
      <w:pPr>
        <w:jc w:val="both"/>
        <w:rPr>
          <w:rFonts w:ascii="Arial" w:hAnsi="Arial" w:cs="Arial"/>
          <w:sz w:val="22"/>
          <w:szCs w:val="22"/>
        </w:rPr>
      </w:pPr>
    </w:p>
    <w:p w14:paraId="5AA14755" w14:textId="6E66797C" w:rsidR="002A0457" w:rsidRPr="002A0457" w:rsidRDefault="002A0457" w:rsidP="002A0457">
      <w:pPr>
        <w:jc w:val="both"/>
        <w:rPr>
          <w:rFonts w:ascii="Arial" w:hAnsi="Arial" w:cs="Arial"/>
          <w:sz w:val="22"/>
          <w:szCs w:val="22"/>
        </w:rPr>
      </w:pPr>
      <w:r w:rsidRPr="002A0457">
        <w:rPr>
          <w:rFonts w:ascii="Arial" w:hAnsi="Arial" w:cs="Arial"/>
          <w:sz w:val="22"/>
          <w:szCs w:val="22"/>
        </w:rPr>
        <w:t xml:space="preserve">Sur les 3 ans de la précédente convention, les 3 acteurs Région, </w:t>
      </w:r>
      <w:r w:rsidR="0075575F">
        <w:rPr>
          <w:rFonts w:ascii="Arial" w:hAnsi="Arial" w:cs="Arial"/>
          <w:sz w:val="22"/>
          <w:szCs w:val="22"/>
        </w:rPr>
        <w:t>a</w:t>
      </w:r>
      <w:r w:rsidR="0075575F" w:rsidRPr="0075575F">
        <w:rPr>
          <w:rFonts w:ascii="Arial" w:hAnsi="Arial" w:cs="Arial"/>
          <w:sz w:val="22"/>
          <w:szCs w:val="22"/>
        </w:rPr>
        <w:t>utorités organisatrices de la distribution d'énergie (AODE)</w:t>
      </w:r>
      <w:r w:rsidR="0075575F">
        <w:rPr>
          <w:rFonts w:ascii="Arial" w:hAnsi="Arial" w:cs="Arial"/>
          <w:sz w:val="22"/>
          <w:szCs w:val="22"/>
        </w:rPr>
        <w:t xml:space="preserve"> </w:t>
      </w:r>
      <w:r w:rsidRPr="002A0457">
        <w:rPr>
          <w:rFonts w:ascii="Arial" w:hAnsi="Arial" w:cs="Arial"/>
          <w:sz w:val="22"/>
          <w:szCs w:val="22"/>
        </w:rPr>
        <w:t xml:space="preserve">et Europe ont consenti un investissement d’un montant total de </w:t>
      </w:r>
      <w:r w:rsidRPr="00A82DE6">
        <w:rPr>
          <w:rFonts w:ascii="Arial" w:hAnsi="Arial" w:cs="Arial"/>
          <w:b/>
          <w:sz w:val="22"/>
          <w:szCs w:val="22"/>
        </w:rPr>
        <w:t>74.6 </w:t>
      </w:r>
      <w:r w:rsidR="0075575F" w:rsidRPr="00A82DE6">
        <w:rPr>
          <w:rFonts w:ascii="Arial" w:hAnsi="Arial" w:cs="Arial"/>
          <w:b/>
          <w:sz w:val="22"/>
          <w:szCs w:val="22"/>
        </w:rPr>
        <w:t>millions d’euros</w:t>
      </w:r>
      <w:r w:rsidR="00A82DE6" w:rsidRPr="00A82DE6">
        <w:rPr>
          <w:rFonts w:ascii="Arial" w:hAnsi="Arial" w:cs="Arial"/>
          <w:b/>
          <w:sz w:val="22"/>
          <w:szCs w:val="22"/>
        </w:rPr>
        <w:t xml:space="preserve"> : </w:t>
      </w:r>
      <w:r w:rsidRPr="00A82DE6">
        <w:rPr>
          <w:rFonts w:ascii="Arial" w:hAnsi="Arial" w:cs="Arial"/>
          <w:b/>
          <w:sz w:val="22"/>
          <w:szCs w:val="22"/>
        </w:rPr>
        <w:t>56</w:t>
      </w:r>
      <w:r w:rsidR="0075575F" w:rsidRPr="00A82DE6">
        <w:rPr>
          <w:rFonts w:ascii="Arial" w:hAnsi="Arial" w:cs="Arial"/>
          <w:b/>
          <w:sz w:val="22"/>
          <w:szCs w:val="22"/>
        </w:rPr>
        <w:t xml:space="preserve"> </w:t>
      </w:r>
      <w:r w:rsidRPr="00A82DE6">
        <w:rPr>
          <w:rFonts w:ascii="Arial" w:hAnsi="Arial" w:cs="Arial"/>
          <w:b/>
          <w:sz w:val="22"/>
          <w:szCs w:val="22"/>
        </w:rPr>
        <w:t>% par les syndicats d’énergie, 33% par l’Europe-FEDER et FEADER, 11% par la Région</w:t>
      </w:r>
      <w:r w:rsidRPr="002A0457">
        <w:rPr>
          <w:rFonts w:ascii="Arial" w:hAnsi="Arial" w:cs="Arial"/>
          <w:sz w:val="22"/>
          <w:szCs w:val="22"/>
        </w:rPr>
        <w:t>.</w:t>
      </w:r>
    </w:p>
    <w:p w14:paraId="3BC6198F" w14:textId="77777777" w:rsidR="002A0457" w:rsidRPr="002A0457" w:rsidRDefault="002A0457" w:rsidP="002A0457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0" w:type="auto"/>
        <w:tblInd w:w="0" w:type="dxa"/>
        <w:tblLook w:val="04A0" w:firstRow="1" w:lastRow="0" w:firstColumn="1" w:lastColumn="0" w:noHBand="0" w:noVBand="1"/>
      </w:tblPr>
      <w:tblGrid>
        <w:gridCol w:w="3364"/>
        <w:gridCol w:w="1906"/>
        <w:gridCol w:w="2022"/>
        <w:gridCol w:w="1770"/>
      </w:tblGrid>
      <w:tr w:rsidR="002A0457" w:rsidRPr="002A0457" w14:paraId="02B7B573" w14:textId="77777777" w:rsidTr="0075575F">
        <w:trPr>
          <w:trHeight w:val="298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  <w:hideMark/>
          </w:tcPr>
          <w:p w14:paraId="39CF549F" w14:textId="77777777" w:rsidR="002A0457" w:rsidRPr="0075575F" w:rsidRDefault="002A0457" w:rsidP="00446163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75575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Type de projets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  <w:hideMark/>
          </w:tcPr>
          <w:p w14:paraId="61EE3126" w14:textId="77777777" w:rsidR="002A0457" w:rsidRPr="0075575F" w:rsidRDefault="002A0457" w:rsidP="00446163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75575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Nombre de projets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  <w:hideMark/>
          </w:tcPr>
          <w:p w14:paraId="09E07366" w14:textId="77777777" w:rsidR="002A0457" w:rsidRPr="0075575F" w:rsidRDefault="002A0457" w:rsidP="00446163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75575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Montant financement en k€</w:t>
            </w:r>
          </w:p>
        </w:tc>
      </w:tr>
      <w:tr w:rsidR="002A0457" w:rsidRPr="002A0457" w14:paraId="56DBB3EF" w14:textId="77777777" w:rsidTr="0075575F">
        <w:trPr>
          <w:trHeight w:val="273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  <w:hideMark/>
          </w:tcPr>
          <w:p w14:paraId="5CB8A264" w14:textId="77777777" w:rsidR="002A0457" w:rsidRPr="0075575F" w:rsidRDefault="002A0457" w:rsidP="00446163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  <w:hideMark/>
          </w:tcPr>
          <w:p w14:paraId="323AB737" w14:textId="77777777" w:rsidR="002A0457" w:rsidRPr="0075575F" w:rsidRDefault="002A0457" w:rsidP="00446163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  <w:hideMark/>
          </w:tcPr>
          <w:p w14:paraId="11937E24" w14:textId="77777777" w:rsidR="002A0457" w:rsidRPr="0075575F" w:rsidRDefault="002A0457" w:rsidP="00446163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75575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AODE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  <w:hideMark/>
          </w:tcPr>
          <w:p w14:paraId="625AF7A7" w14:textId="77777777" w:rsidR="002A0457" w:rsidRPr="0075575F" w:rsidRDefault="002A0457" w:rsidP="00446163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75575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Région / Europe</w:t>
            </w:r>
          </w:p>
        </w:tc>
      </w:tr>
      <w:tr w:rsidR="002A0457" w:rsidRPr="002A0457" w14:paraId="737397DA" w14:textId="77777777" w:rsidTr="00446163">
        <w:trPr>
          <w:trHeight w:val="39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2B1BD" w14:textId="77777777" w:rsidR="002A0457" w:rsidRPr="002A0457" w:rsidRDefault="002A0457" w:rsidP="00446163">
            <w:pPr>
              <w:rPr>
                <w:rFonts w:ascii="Arial" w:hAnsi="Arial" w:cs="Arial"/>
                <w:sz w:val="22"/>
                <w:szCs w:val="22"/>
              </w:rPr>
            </w:pPr>
            <w:r w:rsidRPr="002A0457">
              <w:rPr>
                <w:rFonts w:ascii="Arial" w:hAnsi="Arial" w:cs="Arial"/>
                <w:sz w:val="22"/>
                <w:szCs w:val="22"/>
              </w:rPr>
              <w:t>Efficacité et sobriété énergétique du patrimoine public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784D" w14:textId="6CA0DEBB" w:rsidR="002A0457" w:rsidRPr="002A0457" w:rsidRDefault="002A0457" w:rsidP="004461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0457">
              <w:rPr>
                <w:rFonts w:ascii="Arial" w:hAnsi="Arial" w:cs="Arial"/>
                <w:sz w:val="22"/>
                <w:szCs w:val="22"/>
              </w:rPr>
              <w:t xml:space="preserve">53 691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F73F" w14:textId="77777777" w:rsidR="002A0457" w:rsidRPr="002A0457" w:rsidRDefault="002A0457" w:rsidP="004461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0457">
              <w:rPr>
                <w:rFonts w:ascii="Arial" w:hAnsi="Arial" w:cs="Arial"/>
                <w:sz w:val="22"/>
                <w:szCs w:val="22"/>
              </w:rPr>
              <w:t>19 460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1D420" w14:textId="77777777" w:rsidR="002A0457" w:rsidRPr="002A0457" w:rsidRDefault="002A0457" w:rsidP="004461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0457">
              <w:rPr>
                <w:rFonts w:ascii="Arial" w:hAnsi="Arial" w:cs="Arial"/>
                <w:sz w:val="22"/>
                <w:szCs w:val="22"/>
              </w:rPr>
              <w:t>5 108</w:t>
            </w:r>
          </w:p>
        </w:tc>
      </w:tr>
      <w:tr w:rsidR="002A0457" w:rsidRPr="002A0457" w14:paraId="2332215D" w14:textId="77777777" w:rsidTr="00446163">
        <w:trPr>
          <w:trHeight w:val="24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58A4B" w14:textId="77777777" w:rsidR="002A0457" w:rsidRPr="002A0457" w:rsidRDefault="002A0457" w:rsidP="00446163">
            <w:pPr>
              <w:rPr>
                <w:rFonts w:ascii="Arial" w:hAnsi="Arial" w:cs="Arial"/>
                <w:sz w:val="22"/>
                <w:szCs w:val="22"/>
              </w:rPr>
            </w:pPr>
            <w:r w:rsidRPr="002A0457">
              <w:rPr>
                <w:rFonts w:ascii="Arial" w:hAnsi="Arial" w:cs="Arial"/>
                <w:sz w:val="22"/>
                <w:szCs w:val="22"/>
              </w:rPr>
              <w:t>Electricité renouvelable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74213" w14:textId="77777777" w:rsidR="002A0457" w:rsidRPr="002A0457" w:rsidRDefault="002A0457" w:rsidP="004461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0457">
              <w:rPr>
                <w:rFonts w:ascii="Arial" w:hAnsi="Arial" w:cs="Arial"/>
                <w:sz w:val="22"/>
                <w:szCs w:val="22"/>
              </w:rPr>
              <w:t>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EC325" w14:textId="77777777" w:rsidR="002A0457" w:rsidRPr="002A0457" w:rsidRDefault="002A0457" w:rsidP="004461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0457">
              <w:rPr>
                <w:rFonts w:ascii="Arial" w:hAnsi="Arial" w:cs="Arial"/>
                <w:sz w:val="22"/>
                <w:szCs w:val="22"/>
              </w:rPr>
              <w:t>12 186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14007" w14:textId="77777777" w:rsidR="002A0457" w:rsidRPr="002A0457" w:rsidRDefault="002A0457" w:rsidP="004461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0457">
              <w:rPr>
                <w:rFonts w:ascii="Arial" w:hAnsi="Arial" w:cs="Arial"/>
                <w:sz w:val="22"/>
                <w:szCs w:val="22"/>
              </w:rPr>
              <w:t>1 496</w:t>
            </w:r>
          </w:p>
        </w:tc>
      </w:tr>
      <w:tr w:rsidR="002A0457" w:rsidRPr="002A0457" w14:paraId="4CD1F300" w14:textId="77777777" w:rsidTr="00446163">
        <w:trPr>
          <w:trHeight w:val="28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6B7F0" w14:textId="77777777" w:rsidR="002A0457" w:rsidRPr="002A0457" w:rsidRDefault="002A0457" w:rsidP="00446163">
            <w:pPr>
              <w:rPr>
                <w:rFonts w:ascii="Arial" w:hAnsi="Arial" w:cs="Arial"/>
                <w:sz w:val="22"/>
                <w:szCs w:val="22"/>
              </w:rPr>
            </w:pPr>
            <w:r w:rsidRPr="002A0457">
              <w:rPr>
                <w:rFonts w:ascii="Arial" w:hAnsi="Arial" w:cs="Arial"/>
                <w:sz w:val="22"/>
                <w:szCs w:val="22"/>
              </w:rPr>
              <w:t>Chaleur renouvelable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B5325" w14:textId="77777777" w:rsidR="002A0457" w:rsidRPr="002A0457" w:rsidRDefault="002A0457" w:rsidP="004461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0457">
              <w:rPr>
                <w:rFonts w:ascii="Arial" w:hAnsi="Arial" w:cs="Arial"/>
                <w:sz w:val="22"/>
                <w:szCs w:val="22"/>
              </w:rPr>
              <w:t>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18DEF" w14:textId="77777777" w:rsidR="002A0457" w:rsidRPr="002A0457" w:rsidRDefault="002A0457" w:rsidP="004461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0457">
              <w:rPr>
                <w:rFonts w:ascii="Arial" w:hAnsi="Arial" w:cs="Arial"/>
                <w:sz w:val="22"/>
                <w:szCs w:val="22"/>
              </w:rPr>
              <w:t>4 709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EB4FB" w14:textId="77777777" w:rsidR="002A0457" w:rsidRPr="002A0457" w:rsidRDefault="002A0457" w:rsidP="004461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0457">
              <w:rPr>
                <w:rFonts w:ascii="Arial" w:hAnsi="Arial" w:cs="Arial"/>
                <w:sz w:val="22"/>
                <w:szCs w:val="22"/>
              </w:rPr>
              <w:t>24 030</w:t>
            </w:r>
          </w:p>
        </w:tc>
      </w:tr>
      <w:tr w:rsidR="002A0457" w:rsidRPr="002A0457" w14:paraId="34B736A7" w14:textId="77777777" w:rsidTr="00446163">
        <w:trPr>
          <w:trHeight w:val="56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41D8B" w14:textId="77777777" w:rsidR="002A0457" w:rsidRPr="002A0457" w:rsidRDefault="002A0457" w:rsidP="00446163">
            <w:pPr>
              <w:rPr>
                <w:rFonts w:ascii="Arial" w:hAnsi="Arial" w:cs="Arial"/>
                <w:sz w:val="22"/>
                <w:szCs w:val="22"/>
              </w:rPr>
            </w:pPr>
            <w:r w:rsidRPr="002A0457">
              <w:rPr>
                <w:rFonts w:ascii="Arial" w:hAnsi="Arial" w:cs="Arial"/>
                <w:sz w:val="22"/>
                <w:szCs w:val="22"/>
              </w:rPr>
              <w:t>Mobilité bas-carbone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E2F77" w14:textId="77777777" w:rsidR="002A0457" w:rsidRPr="002A0457" w:rsidRDefault="002A0457" w:rsidP="004461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0457">
              <w:rPr>
                <w:rFonts w:ascii="Arial" w:hAnsi="Arial" w:cs="Arial"/>
                <w:sz w:val="22"/>
                <w:szCs w:val="22"/>
              </w:rPr>
              <w:t>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77ADD" w14:textId="198CB23D" w:rsidR="002A0457" w:rsidRPr="002A0457" w:rsidRDefault="002A0457" w:rsidP="00A82D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0457">
              <w:rPr>
                <w:rFonts w:ascii="Arial" w:hAnsi="Arial" w:cs="Arial"/>
                <w:sz w:val="22"/>
                <w:szCs w:val="22"/>
              </w:rPr>
              <w:t xml:space="preserve">5 363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12A0E" w14:textId="77777777" w:rsidR="002A0457" w:rsidRPr="002A0457" w:rsidRDefault="002A0457" w:rsidP="004461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0457">
              <w:rPr>
                <w:rFonts w:ascii="Arial" w:hAnsi="Arial" w:cs="Arial"/>
                <w:sz w:val="22"/>
                <w:szCs w:val="22"/>
              </w:rPr>
              <w:t>2 255</w:t>
            </w:r>
          </w:p>
        </w:tc>
      </w:tr>
      <w:tr w:rsidR="002A0457" w:rsidRPr="002A0457" w14:paraId="3E44B370" w14:textId="77777777" w:rsidTr="00446163">
        <w:trPr>
          <w:trHeight w:val="56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6DCC" w14:textId="77777777" w:rsidR="002A0457" w:rsidRPr="002A0457" w:rsidRDefault="002A0457" w:rsidP="0044616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A0457">
              <w:rPr>
                <w:rFonts w:ascii="Arial" w:hAnsi="Arial" w:cs="Arial"/>
                <w:b/>
                <w:sz w:val="22"/>
                <w:szCs w:val="22"/>
              </w:rPr>
              <w:t>Total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90FBE" w14:textId="77777777" w:rsidR="002A0457" w:rsidRPr="002A0457" w:rsidRDefault="002A0457" w:rsidP="0044616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A0457">
              <w:rPr>
                <w:rFonts w:ascii="Arial" w:hAnsi="Arial" w:cs="Arial"/>
                <w:b/>
                <w:sz w:val="22"/>
                <w:szCs w:val="22"/>
              </w:rPr>
              <w:t>53 991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D9D67" w14:textId="77777777" w:rsidR="002A0457" w:rsidRPr="002A0457" w:rsidRDefault="002A0457" w:rsidP="0044616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A0457">
              <w:rPr>
                <w:rFonts w:ascii="Arial" w:hAnsi="Arial" w:cs="Arial"/>
                <w:b/>
                <w:sz w:val="22"/>
                <w:szCs w:val="22"/>
              </w:rPr>
              <w:t>41 718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C46CB" w14:textId="77777777" w:rsidR="002A0457" w:rsidRPr="002A0457" w:rsidRDefault="002A0457" w:rsidP="0044616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A0457">
              <w:rPr>
                <w:rFonts w:ascii="Arial" w:hAnsi="Arial" w:cs="Arial"/>
                <w:b/>
                <w:sz w:val="22"/>
                <w:szCs w:val="22"/>
              </w:rPr>
              <w:t>32 889</w:t>
            </w:r>
          </w:p>
        </w:tc>
      </w:tr>
    </w:tbl>
    <w:p w14:paraId="6CA4936C" w14:textId="77777777" w:rsidR="002A0457" w:rsidRPr="002A0457" w:rsidRDefault="002A0457" w:rsidP="002A0457">
      <w:pPr>
        <w:rPr>
          <w:rFonts w:ascii="Arial" w:hAnsi="Arial" w:cs="Arial"/>
          <w:sz w:val="22"/>
          <w:szCs w:val="22"/>
          <w:lang w:eastAsia="en-US"/>
        </w:rPr>
      </w:pPr>
    </w:p>
    <w:p w14:paraId="626DB339" w14:textId="77777777" w:rsidR="002A0457" w:rsidRPr="002A0457" w:rsidRDefault="002A0457" w:rsidP="002A0457">
      <w:pPr>
        <w:jc w:val="both"/>
        <w:rPr>
          <w:rFonts w:ascii="Arial" w:hAnsi="Arial" w:cs="Arial"/>
          <w:sz w:val="22"/>
          <w:szCs w:val="22"/>
        </w:rPr>
      </w:pPr>
    </w:p>
    <w:p w14:paraId="4A2058D1" w14:textId="77777777" w:rsidR="002A0457" w:rsidRPr="002A0457" w:rsidRDefault="002A0457" w:rsidP="002A0457">
      <w:pPr>
        <w:shd w:val="clear" w:color="auto" w:fill="FFFFFF"/>
        <w:rPr>
          <w:rFonts w:ascii="Calibri" w:eastAsiaTheme="minorHAnsi" w:hAnsi="Calibri" w:cs="Calibri"/>
          <w:sz w:val="22"/>
          <w:szCs w:val="22"/>
          <w:lang w:eastAsia="en-US"/>
        </w:rPr>
      </w:pPr>
      <w:r w:rsidRPr="002A045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Contact presse :</w:t>
      </w:r>
    </w:p>
    <w:p w14:paraId="33AE43CE" w14:textId="35931683" w:rsidR="002A0457" w:rsidRPr="0075575F" w:rsidRDefault="002A0457" w:rsidP="0075575F">
      <w:pPr>
        <w:shd w:val="clear" w:color="auto" w:fill="FFFFFF"/>
        <w:spacing w:after="200" w:line="276" w:lineRule="auto"/>
        <w:rPr>
          <w:rFonts w:ascii="Calibri" w:eastAsiaTheme="minorHAnsi" w:hAnsi="Calibri" w:cs="Calibri"/>
          <w:sz w:val="22"/>
          <w:szCs w:val="22"/>
          <w:lang w:eastAsia="en-US"/>
        </w:rPr>
      </w:pPr>
      <w:r w:rsidRPr="002A045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Charlotte Chanteloup - 06 42 08 11 68 - </w:t>
      </w:r>
      <w:hyperlink r:id="rId11" w:tgtFrame="_blank" w:history="1">
        <w:r w:rsidRPr="002A0457">
          <w:rPr>
            <w:rFonts w:ascii="Arial" w:eastAsiaTheme="minorHAnsi" w:hAnsi="Arial" w:cs="Arial"/>
            <w:color w:val="0563C1"/>
            <w:sz w:val="22"/>
            <w:szCs w:val="22"/>
            <w:u w:val="single"/>
            <w:lang w:eastAsia="en-US"/>
          </w:rPr>
          <w:t>charlotte.chanteloup@normandie.fr</w:t>
        </w:r>
      </w:hyperlink>
    </w:p>
    <w:sectPr w:rsidR="002A0457" w:rsidRPr="007557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66B9B"/>
    <w:multiLevelType w:val="hybridMultilevel"/>
    <w:tmpl w:val="E272F0D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B29E3"/>
    <w:multiLevelType w:val="hybridMultilevel"/>
    <w:tmpl w:val="603AF536"/>
    <w:lvl w:ilvl="0" w:tplc="1564FF4A">
      <w:start w:val="4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74D82"/>
    <w:multiLevelType w:val="hybridMultilevel"/>
    <w:tmpl w:val="8918BF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F64A7"/>
    <w:multiLevelType w:val="hybridMultilevel"/>
    <w:tmpl w:val="2A3CC2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7446B"/>
    <w:multiLevelType w:val="hybridMultilevel"/>
    <w:tmpl w:val="06BCB4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C48DA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BE11C3"/>
    <w:multiLevelType w:val="hybridMultilevel"/>
    <w:tmpl w:val="2F346C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4B0"/>
    <w:rsid w:val="001A25BB"/>
    <w:rsid w:val="002A0457"/>
    <w:rsid w:val="002A6E10"/>
    <w:rsid w:val="002B00F2"/>
    <w:rsid w:val="0075575F"/>
    <w:rsid w:val="009704B0"/>
    <w:rsid w:val="00A82DE6"/>
    <w:rsid w:val="00C40152"/>
    <w:rsid w:val="00C6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672CB"/>
  <w15:chartTrackingRefBased/>
  <w15:docId w15:val="{25F29629-95FC-4D77-89FE-D33D4222B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0457"/>
    <w:pPr>
      <w:spacing w:after="0" w:line="240" w:lineRule="auto"/>
    </w:pPr>
    <w:rPr>
      <w:rFonts w:ascii="Times" w:eastAsia="Times New Roman" w:hAnsi="Times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A0457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Grilledutableau">
    <w:name w:val="Table Grid"/>
    <w:basedOn w:val="TableauNormal"/>
    <w:uiPriority w:val="59"/>
    <w:rsid w:val="002A045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1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7F1A1.1FAA92A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7F108.1A253F40" TargetMode="External"/><Relationship Id="rId11" Type="http://schemas.openxmlformats.org/officeDocument/2006/relationships/hyperlink" Target="mailto:charlotte.chanteloup@normandie.fr" TargetMode="External"/><Relationship Id="rId5" Type="http://schemas.openxmlformats.org/officeDocument/2006/relationships/image" Target="media/image1.jpeg"/><Relationship Id="rId10" Type="http://schemas.openxmlformats.org/officeDocument/2006/relationships/image" Target="cid:image003.jpg@01D7F1A1.1FAA92A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816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Normandie</Company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CHANTELOUP Charlotte</dc:creator>
  <cp:keywords/>
  <dc:description/>
  <cp:lastModifiedBy>CHANTELOUP Charlotte</cp:lastModifiedBy>
  <cp:revision>4</cp:revision>
  <dcterms:created xsi:type="dcterms:W3CDTF">2021-12-15T13:31:00Z</dcterms:created>
  <dcterms:modified xsi:type="dcterms:W3CDTF">2021-12-16T10:40:00Z</dcterms:modified>
</cp:coreProperties>
</file>