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F8C885" w14:textId="6B88500C" w:rsidR="001831AF" w:rsidRDefault="003D1EA0" w:rsidP="001831AF">
      <w:pPr>
        <w:jc w:val="right"/>
      </w:pPr>
      <w:bookmarkStart w:id="0" w:name="_Hlk86844140"/>
      <w:bookmarkStart w:id="1" w:name="_Hlk86916120"/>
      <w:r>
        <w:rPr>
          <w:noProof/>
        </w:rPr>
        <w:drawing>
          <wp:inline distT="0" distB="0" distL="0" distR="0" wp14:anchorId="3AB75BC5" wp14:editId="2FDDD02E">
            <wp:extent cx="5771515" cy="1085850"/>
            <wp:effectExtent l="0" t="0" r="635"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71515" cy="1085850"/>
                    </a:xfrm>
                    <a:prstGeom prst="rect">
                      <a:avLst/>
                    </a:prstGeom>
                    <a:noFill/>
                  </pic:spPr>
                </pic:pic>
              </a:graphicData>
            </a:graphic>
          </wp:inline>
        </w:drawing>
      </w:r>
    </w:p>
    <w:p w14:paraId="430A0124" w14:textId="77777777" w:rsidR="003D1EA0" w:rsidRDefault="003D1EA0" w:rsidP="001831AF">
      <w:pPr>
        <w:rPr>
          <w:b/>
          <w:color w:val="0070C0"/>
          <w:u w:val="single"/>
        </w:rPr>
      </w:pPr>
    </w:p>
    <w:p w14:paraId="442A74E8" w14:textId="77777777" w:rsidR="003D1EA0" w:rsidRDefault="003D1EA0" w:rsidP="001831AF">
      <w:pPr>
        <w:rPr>
          <w:b/>
          <w:color w:val="0070C0"/>
          <w:u w:val="single"/>
        </w:rPr>
      </w:pPr>
    </w:p>
    <w:p w14:paraId="3C4836F8" w14:textId="38FCD569" w:rsidR="00546D42" w:rsidRPr="00546D42" w:rsidRDefault="005271AF" w:rsidP="001831AF">
      <w:pPr>
        <w:rPr>
          <w:b/>
        </w:rPr>
      </w:pPr>
      <w:r w:rsidRPr="00546D42">
        <w:rPr>
          <w:b/>
          <w:color w:val="0070C0"/>
          <w:u w:val="single"/>
        </w:rPr>
        <w:t>En pièce jointe</w:t>
      </w:r>
      <w:r w:rsidRPr="00546D42">
        <w:rPr>
          <w:b/>
          <w:color w:val="0070C0"/>
        </w:rPr>
        <w:t xml:space="preserve"> </w:t>
      </w:r>
      <w:r w:rsidRPr="00546D42">
        <w:rPr>
          <w:b/>
        </w:rPr>
        <w:t xml:space="preserve">: </w:t>
      </w:r>
    </w:p>
    <w:p w14:paraId="11DEF022" w14:textId="5904CC41" w:rsidR="00311396" w:rsidRPr="00546D42" w:rsidRDefault="00546D42" w:rsidP="00546D42">
      <w:pPr>
        <w:pStyle w:val="Paragraphedeliste"/>
        <w:numPr>
          <w:ilvl w:val="0"/>
          <w:numId w:val="8"/>
        </w:numPr>
        <w:rPr>
          <w:b/>
          <w:color w:val="0070C0"/>
        </w:rPr>
      </w:pPr>
      <w:r w:rsidRPr="00546D42">
        <w:rPr>
          <w:b/>
          <w:color w:val="0070C0"/>
        </w:rPr>
        <w:t>L</w:t>
      </w:r>
      <w:r w:rsidR="005271AF" w:rsidRPr="00546D42">
        <w:rPr>
          <w:b/>
          <w:color w:val="0070C0"/>
        </w:rPr>
        <w:t>a plaquette de présentation du plan régional d’investissement dans la santé</w:t>
      </w:r>
    </w:p>
    <w:bookmarkEnd w:id="0"/>
    <w:p w14:paraId="24FCA9FA" w14:textId="77777777" w:rsidR="00546D42" w:rsidRDefault="00546D42" w:rsidP="006B6CD5">
      <w:pPr>
        <w:jc w:val="right"/>
      </w:pPr>
    </w:p>
    <w:p w14:paraId="1E1F89D2" w14:textId="77777777" w:rsidR="00546D42" w:rsidRDefault="00546D42" w:rsidP="006B6CD5">
      <w:pPr>
        <w:jc w:val="right"/>
      </w:pPr>
    </w:p>
    <w:p w14:paraId="0E9EEE76" w14:textId="6A058A6D" w:rsidR="00495E52" w:rsidRPr="0064657E" w:rsidRDefault="006B6CD5" w:rsidP="0064657E">
      <w:pPr>
        <w:jc w:val="right"/>
      </w:pPr>
      <w:r>
        <w:t xml:space="preserve">Le </w:t>
      </w:r>
      <w:r w:rsidR="001043C7">
        <w:t>8</w:t>
      </w:r>
      <w:r>
        <w:t xml:space="preserve"> novembre 2021</w:t>
      </w:r>
    </w:p>
    <w:p w14:paraId="2D497BA6" w14:textId="77777777" w:rsidR="006B6CD5" w:rsidRDefault="006B6CD5" w:rsidP="006B6CD5"/>
    <w:p w14:paraId="77195DAD" w14:textId="4DE459C8" w:rsidR="006B6CD5" w:rsidRPr="00495E52" w:rsidRDefault="001043C7" w:rsidP="006B6CD5">
      <w:pPr>
        <w:jc w:val="both"/>
        <w:rPr>
          <w:b/>
          <w:bCs/>
          <w:sz w:val="28"/>
          <w:szCs w:val="28"/>
        </w:rPr>
      </w:pPr>
      <w:r>
        <w:rPr>
          <w:b/>
          <w:bCs/>
          <w:sz w:val="28"/>
          <w:szCs w:val="28"/>
        </w:rPr>
        <w:t>La</w:t>
      </w:r>
      <w:r w:rsidR="006B6CD5">
        <w:rPr>
          <w:b/>
          <w:bCs/>
          <w:sz w:val="28"/>
          <w:szCs w:val="28"/>
        </w:rPr>
        <w:t xml:space="preserve"> Région </w:t>
      </w:r>
      <w:r>
        <w:rPr>
          <w:b/>
          <w:bCs/>
          <w:sz w:val="28"/>
          <w:szCs w:val="28"/>
        </w:rPr>
        <w:t xml:space="preserve">mobilise 200 millions </w:t>
      </w:r>
      <w:r w:rsidR="006B6CD5" w:rsidRPr="00495E52">
        <w:rPr>
          <w:b/>
          <w:bCs/>
          <w:sz w:val="28"/>
          <w:szCs w:val="28"/>
        </w:rPr>
        <w:t>d’euros pour faire de la Normandie une région exemplaire en matière d’accès aux soins</w:t>
      </w:r>
    </w:p>
    <w:p w14:paraId="232BB5E7" w14:textId="77777777" w:rsidR="006B6CD5" w:rsidRPr="00495E52" w:rsidRDefault="006B6CD5" w:rsidP="006B6CD5">
      <w:pPr>
        <w:jc w:val="both"/>
      </w:pPr>
    </w:p>
    <w:p w14:paraId="3CA6BB57" w14:textId="78138839" w:rsidR="006B6CD5" w:rsidRPr="001043C7" w:rsidRDefault="001043C7" w:rsidP="006B6CD5">
      <w:pPr>
        <w:jc w:val="both"/>
        <w:rPr>
          <w:b/>
          <w:bCs/>
        </w:rPr>
      </w:pPr>
      <w:r w:rsidRPr="001043C7">
        <w:rPr>
          <w:b/>
          <w:bCs/>
        </w:rPr>
        <w:t xml:space="preserve">Fruit d’une étroite collaboration entre la Région Normandie et l’ARS, </w:t>
      </w:r>
      <w:r>
        <w:rPr>
          <w:b/>
          <w:bCs/>
        </w:rPr>
        <w:t>le</w:t>
      </w:r>
      <w:r w:rsidRPr="001043C7">
        <w:rPr>
          <w:b/>
          <w:bCs/>
        </w:rPr>
        <w:t xml:space="preserve"> plan régional d’investissement dans la santé pour la période 2021-2030, a été présenté</w:t>
      </w:r>
      <w:r>
        <w:rPr>
          <w:b/>
          <w:bCs/>
        </w:rPr>
        <w:t xml:space="preserve">, ce matin, au </w:t>
      </w:r>
      <w:r w:rsidR="006B6CD5" w:rsidRPr="00495E52">
        <w:rPr>
          <w:b/>
          <w:bCs/>
        </w:rPr>
        <w:t xml:space="preserve">Centre Hospitalier de Gisors. </w:t>
      </w:r>
      <w:r>
        <w:rPr>
          <w:b/>
          <w:bCs/>
        </w:rPr>
        <w:t xml:space="preserve">Dans ce cadre, </w:t>
      </w:r>
      <w:r w:rsidRPr="001043C7">
        <w:rPr>
          <w:b/>
          <w:bCs/>
        </w:rPr>
        <w:t>200 millions</w:t>
      </w:r>
      <w:r>
        <w:rPr>
          <w:b/>
          <w:bCs/>
        </w:rPr>
        <w:t xml:space="preserve"> seront mobilisés par la Région </w:t>
      </w:r>
      <w:r w:rsidRPr="001043C7">
        <w:rPr>
          <w:b/>
          <w:bCs/>
        </w:rPr>
        <w:t>sur la période 2021-2030</w:t>
      </w:r>
      <w:r>
        <w:rPr>
          <w:b/>
          <w:bCs/>
        </w:rPr>
        <w:t xml:space="preserve"> pour accompagner </w:t>
      </w:r>
      <w:r w:rsidR="006B6CD5" w:rsidRPr="00495E52">
        <w:rPr>
          <w:b/>
          <w:bCs/>
        </w:rPr>
        <w:t>les projets d’investissement structurants des établissements de santé normands</w:t>
      </w:r>
      <w:r w:rsidR="006B6CD5" w:rsidRPr="00495E52">
        <w:rPr>
          <w:b/>
          <w:bCs/>
          <w:i/>
          <w:iCs/>
        </w:rPr>
        <w:t>.</w:t>
      </w:r>
    </w:p>
    <w:p w14:paraId="50468C01" w14:textId="77777777" w:rsidR="006B6CD5" w:rsidRDefault="006B6CD5" w:rsidP="006B6CD5">
      <w:pPr>
        <w:jc w:val="both"/>
        <w:rPr>
          <w:i/>
          <w:iCs/>
        </w:rPr>
      </w:pPr>
    </w:p>
    <w:p w14:paraId="78ED6C7A" w14:textId="5393A05F" w:rsidR="00CB1672" w:rsidRPr="00862187" w:rsidRDefault="006B6CD5" w:rsidP="00F81DC1">
      <w:pPr>
        <w:jc w:val="both"/>
        <w:rPr>
          <w:i/>
          <w:iCs/>
        </w:rPr>
      </w:pPr>
      <w:r>
        <w:rPr>
          <w:i/>
          <w:iCs/>
        </w:rPr>
        <w:t xml:space="preserve">« La santé est au cœur des préoccupations des Normands. C’est pourquoi, dans la continuité des actions engagées lors de la précédente mandature et bien qu’il s’agisse avant tout d’une compétence de l’Etat, la Région se mobilise afin de bâtir, </w:t>
      </w:r>
      <w:r w:rsidR="001043C7">
        <w:rPr>
          <w:i/>
          <w:iCs/>
        </w:rPr>
        <w:t>avec l’Agence</w:t>
      </w:r>
      <w:r>
        <w:rPr>
          <w:i/>
          <w:iCs/>
        </w:rPr>
        <w:t xml:space="preserve"> Régionale de Santé, une politique de santé au plus près des territoires et qui permette à tous les Normands de bénéficier d’un acc</w:t>
      </w:r>
      <w:r w:rsidRPr="00495E52">
        <w:rPr>
          <w:i/>
          <w:iCs/>
        </w:rPr>
        <w:t>ès aux soins de qualité.</w:t>
      </w:r>
      <w:r w:rsidR="001043C7" w:rsidRPr="001043C7">
        <w:t xml:space="preserve"> </w:t>
      </w:r>
      <w:r w:rsidR="001043C7">
        <w:rPr>
          <w:i/>
          <w:iCs/>
        </w:rPr>
        <w:t xml:space="preserve">Ma </w:t>
      </w:r>
      <w:r w:rsidR="001043C7" w:rsidRPr="001043C7">
        <w:rPr>
          <w:i/>
          <w:iCs/>
        </w:rPr>
        <w:t>première décision durant cette nouvelle mandature a été de mobiliser</w:t>
      </w:r>
      <w:r w:rsidR="001043C7">
        <w:rPr>
          <w:i/>
          <w:iCs/>
        </w:rPr>
        <w:t xml:space="preserve"> </w:t>
      </w:r>
      <w:r w:rsidR="001043C7" w:rsidRPr="001043C7">
        <w:rPr>
          <w:i/>
          <w:iCs/>
        </w:rPr>
        <w:t xml:space="preserve">200 millions d’euros </w:t>
      </w:r>
      <w:r w:rsidR="001043C7">
        <w:rPr>
          <w:i/>
          <w:iCs/>
        </w:rPr>
        <w:t xml:space="preserve">pour </w:t>
      </w:r>
      <w:r w:rsidR="001043C7" w:rsidRPr="001043C7">
        <w:rPr>
          <w:i/>
          <w:iCs/>
        </w:rPr>
        <w:t>le plan régional d’investissement dans la santé. Cette enveloppe</w:t>
      </w:r>
      <w:r w:rsidR="001043C7">
        <w:rPr>
          <w:i/>
          <w:iCs/>
        </w:rPr>
        <w:t xml:space="preserve"> </w:t>
      </w:r>
      <w:r w:rsidR="001043C7" w:rsidRPr="001043C7">
        <w:rPr>
          <w:i/>
          <w:iCs/>
        </w:rPr>
        <w:t>servira principalement à moderniser les</w:t>
      </w:r>
      <w:r w:rsidR="001043C7">
        <w:rPr>
          <w:i/>
          <w:iCs/>
        </w:rPr>
        <w:t xml:space="preserve"> </w:t>
      </w:r>
      <w:r w:rsidR="001043C7" w:rsidRPr="001043C7">
        <w:rPr>
          <w:i/>
          <w:iCs/>
        </w:rPr>
        <w:t>établissements de santé et leurs équipements, à développer la formation des</w:t>
      </w:r>
      <w:r w:rsidR="001043C7">
        <w:rPr>
          <w:i/>
          <w:iCs/>
        </w:rPr>
        <w:t xml:space="preserve"> </w:t>
      </w:r>
      <w:r w:rsidR="001043C7" w:rsidRPr="001043C7">
        <w:rPr>
          <w:i/>
          <w:iCs/>
        </w:rPr>
        <w:t>personnels soignants, à accompagner l’innovation et la recherche</w:t>
      </w:r>
      <w:r w:rsidR="001043C7">
        <w:rPr>
          <w:i/>
          <w:iCs/>
        </w:rPr>
        <w:t xml:space="preserve"> </w:t>
      </w:r>
      <w:r>
        <w:rPr>
          <w:i/>
          <w:iCs/>
        </w:rPr>
        <w:t>»</w:t>
      </w:r>
      <w:r>
        <w:t xml:space="preserve"> a déclaré Hervé Morin, Président de la Région Normandie</w:t>
      </w:r>
      <w:r w:rsidR="001043C7">
        <w:t>.</w:t>
      </w:r>
    </w:p>
    <w:p w14:paraId="23323531" w14:textId="77777777" w:rsidR="00862187" w:rsidRDefault="00862187" w:rsidP="00F81DC1">
      <w:pPr>
        <w:jc w:val="both"/>
        <w:rPr>
          <w:color w:val="000000"/>
          <w:szCs w:val="26"/>
        </w:rPr>
      </w:pPr>
    </w:p>
    <w:p w14:paraId="5E7F627B" w14:textId="2EFE9AD0" w:rsidR="00862187" w:rsidRPr="00862187" w:rsidRDefault="00862187" w:rsidP="00862187">
      <w:pPr>
        <w:spacing w:after="120"/>
        <w:jc w:val="both"/>
        <w:rPr>
          <w:b/>
          <w:color w:val="000000"/>
          <w:sz w:val="26"/>
          <w:szCs w:val="26"/>
        </w:rPr>
      </w:pPr>
      <w:r w:rsidRPr="00862187">
        <w:rPr>
          <w:b/>
          <w:color w:val="000000"/>
          <w:sz w:val="26"/>
          <w:szCs w:val="26"/>
        </w:rPr>
        <w:t>Une stratégie régionale pour répondre aux enjeux de santé sur le territoire</w:t>
      </w:r>
    </w:p>
    <w:p w14:paraId="6A12916D" w14:textId="6D18764D" w:rsidR="00F81DC1" w:rsidRDefault="00F81DC1" w:rsidP="00F81DC1">
      <w:pPr>
        <w:jc w:val="both"/>
        <w:rPr>
          <w:color w:val="000000"/>
          <w:szCs w:val="26"/>
        </w:rPr>
      </w:pPr>
      <w:r>
        <w:rPr>
          <w:color w:val="000000"/>
          <w:szCs w:val="26"/>
        </w:rPr>
        <w:t>Afin de répondre aux enjeux de santé sur le territoire, l</w:t>
      </w:r>
      <w:r w:rsidRPr="00F81DC1">
        <w:rPr>
          <w:color w:val="000000"/>
          <w:szCs w:val="26"/>
        </w:rPr>
        <w:t xml:space="preserve">a Région a décidé de porter avec l’ARS Normandie l’élaboration et le financement de la stratégie régionale d’investissement en santé sur la période 2021-2030. </w:t>
      </w:r>
      <w:r>
        <w:rPr>
          <w:color w:val="000000"/>
          <w:szCs w:val="26"/>
        </w:rPr>
        <w:t xml:space="preserve"> Elle a </w:t>
      </w:r>
      <w:r w:rsidR="00CB1672">
        <w:rPr>
          <w:color w:val="000000"/>
          <w:szCs w:val="26"/>
        </w:rPr>
        <w:t xml:space="preserve">ainsi </w:t>
      </w:r>
      <w:r w:rsidRPr="00F81DC1">
        <w:rPr>
          <w:color w:val="000000"/>
          <w:szCs w:val="26"/>
        </w:rPr>
        <w:t>approuvé, le 19 juillet 2021, la mobilisation d’une</w:t>
      </w:r>
      <w:r>
        <w:rPr>
          <w:color w:val="000000"/>
          <w:szCs w:val="26"/>
        </w:rPr>
        <w:t xml:space="preserve"> </w:t>
      </w:r>
      <w:r w:rsidRPr="00F81DC1">
        <w:rPr>
          <w:color w:val="000000"/>
          <w:szCs w:val="26"/>
        </w:rPr>
        <w:t>enveloppe exceptionnelle de 200 millions d’euros afin d’accompagner les projets</w:t>
      </w:r>
      <w:r>
        <w:rPr>
          <w:color w:val="000000"/>
          <w:szCs w:val="26"/>
        </w:rPr>
        <w:t xml:space="preserve"> </w:t>
      </w:r>
      <w:r w:rsidRPr="00F81DC1">
        <w:rPr>
          <w:color w:val="000000"/>
          <w:szCs w:val="26"/>
        </w:rPr>
        <w:t>d’investissement structurants des établissements de santé normands</w:t>
      </w:r>
    </w:p>
    <w:p w14:paraId="2F1117B6" w14:textId="77777777" w:rsidR="00F81DC1" w:rsidRPr="00F81DC1" w:rsidRDefault="00F81DC1" w:rsidP="00F81DC1">
      <w:pPr>
        <w:jc w:val="both"/>
        <w:rPr>
          <w:color w:val="000000"/>
          <w:szCs w:val="26"/>
        </w:rPr>
      </w:pPr>
    </w:p>
    <w:p w14:paraId="1385ED45" w14:textId="53DCB4B6" w:rsidR="006B6CD5" w:rsidRDefault="0064657E" w:rsidP="006B6CD5">
      <w:pPr>
        <w:spacing w:after="120"/>
        <w:jc w:val="both"/>
      </w:pPr>
      <w:r w:rsidRPr="0064657E">
        <w:t>D’un montant total de 455 millions d’euros</w:t>
      </w:r>
      <w:r w:rsidR="00F81DC1">
        <w:t xml:space="preserve">, </w:t>
      </w:r>
      <w:r w:rsidR="00F81DC1" w:rsidRPr="00F81DC1">
        <w:t>le plan régional d’investissement dans la santé pour la période 2021-2030</w:t>
      </w:r>
      <w:r w:rsidR="00F81DC1">
        <w:t>,</w:t>
      </w:r>
      <w:r>
        <w:t xml:space="preserve"> </w:t>
      </w:r>
      <w:r w:rsidR="006B6CD5" w:rsidRPr="00495E52">
        <w:t>s’articule autour des axes prioritaires suivants :</w:t>
      </w:r>
      <w:r w:rsidR="006B6CD5">
        <w:t xml:space="preserve"> </w:t>
      </w:r>
    </w:p>
    <w:p w14:paraId="13EC23D8" w14:textId="77777777" w:rsidR="006B6CD5" w:rsidRDefault="006B6CD5" w:rsidP="006B6CD5">
      <w:pPr>
        <w:widowControl/>
        <w:numPr>
          <w:ilvl w:val="0"/>
          <w:numId w:val="6"/>
        </w:numPr>
        <w:spacing w:after="120"/>
        <w:ind w:left="714" w:hanging="357"/>
        <w:jc w:val="both"/>
      </w:pPr>
      <w:r>
        <w:rPr>
          <w:b/>
          <w:bCs/>
        </w:rPr>
        <w:t>Réduire des inégalités territoriales de santé </w:t>
      </w:r>
      <w:r>
        <w:t xml:space="preserve">: Organiser et structurer l’offre pour proposer une continuité de soins à tous, avec une prise en compte des réalités locales ; </w:t>
      </w:r>
    </w:p>
    <w:p w14:paraId="6527DCA6" w14:textId="77777777" w:rsidR="006B6CD5" w:rsidRDefault="006B6CD5" w:rsidP="006B6CD5">
      <w:pPr>
        <w:widowControl/>
        <w:numPr>
          <w:ilvl w:val="0"/>
          <w:numId w:val="6"/>
        </w:numPr>
        <w:spacing w:after="120"/>
        <w:ind w:left="714" w:hanging="357"/>
        <w:jc w:val="both"/>
      </w:pPr>
      <w:r>
        <w:rPr>
          <w:b/>
          <w:bCs/>
        </w:rPr>
        <w:t>Anticiper le maintien de la santé, de la qualité de vie, et de l’autonomie des personnes âgées</w:t>
      </w:r>
      <w:r>
        <w:t>, compte tenu du vieillissement de la population ;</w:t>
      </w:r>
    </w:p>
    <w:p w14:paraId="4548BB93" w14:textId="77777777" w:rsidR="006B6CD5" w:rsidRDefault="006B6CD5" w:rsidP="006B6CD5">
      <w:pPr>
        <w:widowControl/>
        <w:numPr>
          <w:ilvl w:val="0"/>
          <w:numId w:val="6"/>
        </w:numPr>
        <w:spacing w:after="120"/>
        <w:ind w:left="714" w:hanging="357"/>
        <w:jc w:val="both"/>
      </w:pPr>
      <w:r>
        <w:rPr>
          <w:b/>
          <w:bCs/>
        </w:rPr>
        <w:t>Consolider les moyens les plus spécialisés et lourds pour en maintenir l’excellence</w:t>
      </w:r>
      <w:r>
        <w:t xml:space="preserve"> ; </w:t>
      </w:r>
    </w:p>
    <w:p w14:paraId="1250C621" w14:textId="77777777" w:rsidR="006B6CD5" w:rsidRDefault="006B6CD5" w:rsidP="006B6CD5">
      <w:pPr>
        <w:widowControl/>
        <w:numPr>
          <w:ilvl w:val="0"/>
          <w:numId w:val="6"/>
        </w:numPr>
        <w:spacing w:after="120"/>
        <w:ind w:left="714" w:hanging="357"/>
        <w:contextualSpacing/>
        <w:jc w:val="both"/>
        <w:rPr>
          <w:b/>
          <w:bCs/>
        </w:rPr>
      </w:pPr>
      <w:r>
        <w:rPr>
          <w:b/>
          <w:bCs/>
        </w:rPr>
        <w:t>Répondre aux enjeux de santé publique majeurs du territoire.</w:t>
      </w:r>
    </w:p>
    <w:p w14:paraId="3FCD9DA8" w14:textId="77777777" w:rsidR="006B6CD5" w:rsidRDefault="006B6CD5" w:rsidP="006B6CD5">
      <w:pPr>
        <w:jc w:val="both"/>
        <w:rPr>
          <w:highlight w:val="yellow"/>
        </w:rPr>
      </w:pPr>
    </w:p>
    <w:p w14:paraId="4E25FC50" w14:textId="77777777" w:rsidR="006B6CD5" w:rsidRDefault="006B6CD5" w:rsidP="006B6CD5">
      <w:pPr>
        <w:jc w:val="both"/>
      </w:pPr>
      <w:r>
        <w:t xml:space="preserve">Ce plan d’investissement sera mené en étroite collaboration avec les professionnels de santé </w:t>
      </w:r>
      <w:r>
        <w:lastRenderedPageBreak/>
        <w:t xml:space="preserve">libéraux exerçant en ville et avec les collectivités. </w:t>
      </w:r>
    </w:p>
    <w:p w14:paraId="0036DF66" w14:textId="77777777" w:rsidR="00862187" w:rsidRDefault="00862187" w:rsidP="00862187">
      <w:pPr>
        <w:pStyle w:val="Titre1"/>
        <w:spacing w:before="0" w:line="240" w:lineRule="auto"/>
        <w:ind w:left="0" w:right="147"/>
        <w:rPr>
          <w:rFonts w:ascii="Arial" w:eastAsia="Times New Roman" w:hAnsi="Arial" w:cs="Arial"/>
          <w:bCs w:val="0"/>
          <w:color w:val="000000" w:themeColor="text1"/>
          <w:w w:val="100"/>
          <w:szCs w:val="22"/>
        </w:rPr>
      </w:pPr>
    </w:p>
    <w:p w14:paraId="6EF08180" w14:textId="3F06BABE" w:rsidR="00862187" w:rsidRPr="00862187" w:rsidRDefault="00862187" w:rsidP="00862187">
      <w:pPr>
        <w:pStyle w:val="Titre1"/>
        <w:spacing w:before="0" w:after="120" w:line="240" w:lineRule="auto"/>
        <w:ind w:left="0" w:right="147"/>
        <w:rPr>
          <w:rFonts w:ascii="Arial" w:eastAsia="Times New Roman" w:hAnsi="Arial" w:cs="Arial"/>
          <w:bCs w:val="0"/>
          <w:color w:val="000000" w:themeColor="text1"/>
          <w:w w:val="100"/>
          <w:szCs w:val="22"/>
        </w:rPr>
      </w:pPr>
      <w:r w:rsidRPr="00862187">
        <w:rPr>
          <w:rFonts w:ascii="Arial" w:eastAsia="Times New Roman" w:hAnsi="Arial" w:cs="Arial"/>
          <w:bCs w:val="0"/>
          <w:color w:val="000000" w:themeColor="text1"/>
          <w:w w:val="100"/>
          <w:szCs w:val="22"/>
        </w:rPr>
        <w:t xml:space="preserve">Les projets d’une quarantaine d’établissements de santé soutenus </w:t>
      </w:r>
      <w:r>
        <w:rPr>
          <w:rFonts w:ascii="Arial" w:eastAsia="Times New Roman" w:hAnsi="Arial" w:cs="Arial"/>
          <w:bCs w:val="0"/>
          <w:color w:val="000000" w:themeColor="text1"/>
          <w:w w:val="100"/>
          <w:szCs w:val="22"/>
        </w:rPr>
        <w:t>par la Région à l’horizon 2030</w:t>
      </w:r>
    </w:p>
    <w:p w14:paraId="7DDF59BB" w14:textId="7305F139" w:rsidR="00862187" w:rsidRDefault="00862187" w:rsidP="00862187">
      <w:pPr>
        <w:widowControl/>
        <w:adjustRightInd w:val="0"/>
        <w:jc w:val="both"/>
        <w:rPr>
          <w:color w:val="000000"/>
          <w:szCs w:val="26"/>
        </w:rPr>
      </w:pPr>
      <w:r>
        <w:rPr>
          <w:color w:val="000000"/>
          <w:szCs w:val="26"/>
        </w:rPr>
        <w:t>U</w:t>
      </w:r>
      <w:r w:rsidRPr="00F81DC1">
        <w:rPr>
          <w:color w:val="000000"/>
          <w:szCs w:val="26"/>
        </w:rPr>
        <w:t xml:space="preserve">n appel à manifestation d’intérêt (AMI) </w:t>
      </w:r>
      <w:r>
        <w:rPr>
          <w:color w:val="000000"/>
          <w:szCs w:val="26"/>
        </w:rPr>
        <w:t xml:space="preserve">a été lancé, en </w:t>
      </w:r>
      <w:r w:rsidRPr="00F81DC1">
        <w:rPr>
          <w:color w:val="000000"/>
          <w:szCs w:val="26"/>
        </w:rPr>
        <w:t>avril 2021 à</w:t>
      </w:r>
      <w:r>
        <w:rPr>
          <w:color w:val="000000"/>
          <w:szCs w:val="26"/>
        </w:rPr>
        <w:t xml:space="preserve"> </w:t>
      </w:r>
      <w:r w:rsidRPr="00F81DC1">
        <w:rPr>
          <w:color w:val="000000"/>
          <w:szCs w:val="26"/>
        </w:rPr>
        <w:t>destination de l’ensemble des établissements de santé et médico-sociaux</w:t>
      </w:r>
      <w:r>
        <w:rPr>
          <w:color w:val="000000"/>
          <w:szCs w:val="26"/>
        </w:rPr>
        <w:t xml:space="preserve"> </w:t>
      </w:r>
      <w:r w:rsidRPr="00F81DC1">
        <w:rPr>
          <w:color w:val="000000"/>
          <w:szCs w:val="26"/>
        </w:rPr>
        <w:t>normands, pour identifier l’ensemble des besoins d’investissement des dix prochaines</w:t>
      </w:r>
      <w:r>
        <w:rPr>
          <w:color w:val="000000"/>
          <w:szCs w:val="26"/>
        </w:rPr>
        <w:t xml:space="preserve"> </w:t>
      </w:r>
      <w:r w:rsidRPr="00F81DC1">
        <w:rPr>
          <w:color w:val="000000"/>
          <w:szCs w:val="26"/>
        </w:rPr>
        <w:t>années. Cet appel a suscité un grand nombre de candidatures</w:t>
      </w:r>
      <w:r>
        <w:rPr>
          <w:color w:val="000000"/>
          <w:szCs w:val="26"/>
        </w:rPr>
        <w:t xml:space="preserve">. </w:t>
      </w:r>
    </w:p>
    <w:p w14:paraId="7C8268D8" w14:textId="77777777" w:rsidR="00862187" w:rsidRDefault="00862187" w:rsidP="00862187">
      <w:pPr>
        <w:widowControl/>
        <w:adjustRightInd w:val="0"/>
        <w:jc w:val="both"/>
        <w:rPr>
          <w:color w:val="000000"/>
          <w:szCs w:val="26"/>
        </w:rPr>
      </w:pPr>
    </w:p>
    <w:p w14:paraId="67090B8E" w14:textId="486D531C" w:rsidR="00C70B99" w:rsidRDefault="00862187" w:rsidP="00C70B99">
      <w:pPr>
        <w:widowControl/>
        <w:adjustRightInd w:val="0"/>
        <w:jc w:val="both"/>
        <w:rPr>
          <w:color w:val="000000"/>
          <w:szCs w:val="26"/>
        </w:rPr>
      </w:pPr>
      <w:r>
        <w:rPr>
          <w:color w:val="000000"/>
          <w:szCs w:val="26"/>
        </w:rPr>
        <w:t>Les candidatures d’une quarantaine d’établissements de santé du territoire ont été retenu</w:t>
      </w:r>
      <w:r w:rsidR="00B30A02">
        <w:rPr>
          <w:color w:val="000000"/>
          <w:szCs w:val="26"/>
        </w:rPr>
        <w:t>e</w:t>
      </w:r>
      <w:r>
        <w:rPr>
          <w:color w:val="000000"/>
          <w:szCs w:val="26"/>
        </w:rPr>
        <w:t xml:space="preserve">s. Les projets </w:t>
      </w:r>
      <w:bookmarkStart w:id="2" w:name="_GoBack"/>
      <w:bookmarkEnd w:id="2"/>
      <w:r>
        <w:rPr>
          <w:color w:val="000000"/>
          <w:szCs w:val="26"/>
        </w:rPr>
        <w:t xml:space="preserve">par ces établissements feront tous l’objet d’un co-financement par la Région dont le montant est en cours d’évaluation. </w:t>
      </w:r>
    </w:p>
    <w:p w14:paraId="526D8711" w14:textId="4EE37A3B" w:rsidR="00C70B99" w:rsidRDefault="00C70B99" w:rsidP="00C70B99">
      <w:pPr>
        <w:widowControl/>
        <w:adjustRightInd w:val="0"/>
        <w:jc w:val="both"/>
        <w:rPr>
          <w:color w:val="000000"/>
          <w:szCs w:val="26"/>
        </w:rPr>
      </w:pPr>
    </w:p>
    <w:p w14:paraId="07D50839" w14:textId="790BBB1E" w:rsidR="00C70B99" w:rsidRDefault="00C70B99" w:rsidP="00C70B99">
      <w:pPr>
        <w:widowControl/>
        <w:adjustRightInd w:val="0"/>
        <w:jc w:val="both"/>
        <w:rPr>
          <w:color w:val="000000"/>
          <w:szCs w:val="26"/>
        </w:rPr>
      </w:pPr>
      <w:r>
        <w:rPr>
          <w:noProof/>
        </w:rPr>
        <w:drawing>
          <wp:inline distT="0" distB="0" distL="0" distR="0" wp14:anchorId="3C43A95A" wp14:editId="17E36309">
            <wp:extent cx="5760720" cy="4073859"/>
            <wp:effectExtent l="0" t="0" r="0" b="317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60720" cy="4073859"/>
                    </a:xfrm>
                    <a:prstGeom prst="rect">
                      <a:avLst/>
                    </a:prstGeom>
                    <a:noFill/>
                    <a:ln>
                      <a:noFill/>
                    </a:ln>
                  </pic:spPr>
                </pic:pic>
              </a:graphicData>
            </a:graphic>
          </wp:inline>
        </w:drawing>
      </w:r>
    </w:p>
    <w:p w14:paraId="1BACCFB2" w14:textId="77777777" w:rsidR="00C70B99" w:rsidRPr="00C70B99" w:rsidRDefault="00C70B99" w:rsidP="00C70B99">
      <w:pPr>
        <w:widowControl/>
        <w:adjustRightInd w:val="0"/>
        <w:jc w:val="both"/>
        <w:rPr>
          <w:color w:val="000000"/>
          <w:szCs w:val="26"/>
        </w:rPr>
      </w:pPr>
    </w:p>
    <w:p w14:paraId="1F564DBD" w14:textId="77777777" w:rsidR="00C70B99" w:rsidRDefault="00C70B99" w:rsidP="00C70B99">
      <w:pPr>
        <w:pStyle w:val="Titre1"/>
        <w:spacing w:before="0" w:line="240" w:lineRule="auto"/>
        <w:ind w:left="0" w:right="147"/>
        <w:rPr>
          <w:rFonts w:ascii="Arial" w:eastAsia="Times New Roman" w:hAnsi="Arial" w:cs="Arial"/>
          <w:bCs w:val="0"/>
          <w:color w:val="000000" w:themeColor="text1"/>
          <w:w w:val="100"/>
          <w:sz w:val="26"/>
          <w:szCs w:val="26"/>
        </w:rPr>
      </w:pPr>
    </w:p>
    <w:p w14:paraId="4AB5C79B" w14:textId="2B16A8CB" w:rsidR="00C70B99" w:rsidRDefault="00C70B99" w:rsidP="00C70B99">
      <w:pPr>
        <w:pStyle w:val="Titre1"/>
        <w:spacing w:before="0" w:line="240" w:lineRule="auto"/>
        <w:ind w:left="0" w:right="147"/>
        <w:rPr>
          <w:rFonts w:ascii="Arial" w:eastAsia="Times New Roman" w:hAnsi="Arial" w:cs="Arial"/>
          <w:b w:val="0"/>
          <w:bCs w:val="0"/>
          <w:color w:val="000000" w:themeColor="text1"/>
          <w:w w:val="100"/>
          <w:sz w:val="22"/>
          <w:szCs w:val="22"/>
        </w:rPr>
      </w:pPr>
      <w:r w:rsidRPr="00C70B99">
        <w:rPr>
          <w:rFonts w:ascii="Arial" w:eastAsia="Times New Roman" w:hAnsi="Arial" w:cs="Arial"/>
          <w:bCs w:val="0"/>
          <w:color w:val="000000" w:themeColor="text1"/>
          <w:w w:val="100"/>
          <w:sz w:val="26"/>
          <w:szCs w:val="26"/>
        </w:rPr>
        <w:t>D’importants investissements déjà engagés et qui se poursuivront sur la période 202</w:t>
      </w:r>
      <w:r>
        <w:rPr>
          <w:rFonts w:ascii="Arial" w:eastAsia="Times New Roman" w:hAnsi="Arial" w:cs="Arial"/>
          <w:bCs w:val="0"/>
          <w:color w:val="000000" w:themeColor="text1"/>
          <w:w w:val="100"/>
          <w:sz w:val="26"/>
          <w:szCs w:val="26"/>
        </w:rPr>
        <w:t>1</w:t>
      </w:r>
      <w:r w:rsidRPr="00C70B99">
        <w:rPr>
          <w:rFonts w:ascii="Arial" w:eastAsia="Times New Roman" w:hAnsi="Arial" w:cs="Arial"/>
          <w:bCs w:val="0"/>
          <w:color w:val="000000" w:themeColor="text1"/>
          <w:w w:val="100"/>
          <w:sz w:val="26"/>
          <w:szCs w:val="26"/>
        </w:rPr>
        <w:t>-2030</w:t>
      </w:r>
      <w:r w:rsidRPr="006B6CD5">
        <w:rPr>
          <w:rFonts w:ascii="Arial" w:eastAsia="Times New Roman" w:hAnsi="Arial" w:cs="Arial"/>
          <w:b w:val="0"/>
          <w:bCs w:val="0"/>
          <w:color w:val="000000" w:themeColor="text1"/>
          <w:w w:val="100"/>
          <w:sz w:val="22"/>
          <w:szCs w:val="22"/>
        </w:rPr>
        <w:t xml:space="preserve"> </w:t>
      </w:r>
    </w:p>
    <w:p w14:paraId="25B63E67" w14:textId="77777777" w:rsidR="00C70B99" w:rsidRDefault="00C70B99" w:rsidP="00C70B99">
      <w:pPr>
        <w:pStyle w:val="Titre1"/>
        <w:spacing w:before="0" w:line="240" w:lineRule="auto"/>
        <w:ind w:left="0" w:right="147"/>
        <w:rPr>
          <w:rFonts w:ascii="Arial" w:eastAsia="Times New Roman" w:hAnsi="Arial" w:cs="Arial"/>
          <w:b w:val="0"/>
          <w:bCs w:val="0"/>
          <w:color w:val="000000" w:themeColor="text1"/>
          <w:w w:val="100"/>
          <w:sz w:val="22"/>
          <w:szCs w:val="22"/>
        </w:rPr>
      </w:pPr>
    </w:p>
    <w:p w14:paraId="5DEB6545" w14:textId="76BEF888" w:rsidR="00C70B99" w:rsidRPr="00C70B99" w:rsidRDefault="00C70B99" w:rsidP="00C70B99">
      <w:pPr>
        <w:pStyle w:val="Titre1"/>
        <w:spacing w:before="0" w:line="240" w:lineRule="auto"/>
        <w:ind w:left="0" w:right="147"/>
        <w:rPr>
          <w:rFonts w:ascii="Arial" w:eastAsia="Times New Roman" w:hAnsi="Arial" w:cs="Arial"/>
          <w:bCs w:val="0"/>
          <w:color w:val="000000" w:themeColor="text1"/>
          <w:w w:val="100"/>
          <w:sz w:val="26"/>
          <w:szCs w:val="26"/>
        </w:rPr>
      </w:pPr>
      <w:r>
        <w:rPr>
          <w:rFonts w:ascii="Arial" w:eastAsia="Times New Roman" w:hAnsi="Arial" w:cs="Arial"/>
          <w:b w:val="0"/>
          <w:bCs w:val="0"/>
          <w:color w:val="000000" w:themeColor="text1"/>
          <w:w w:val="100"/>
          <w:sz w:val="22"/>
          <w:szCs w:val="22"/>
        </w:rPr>
        <w:t>Sur la période 2021-2030, la Région poursuivra, par ailleurs, ses investissements en faveur des projets majeurs suivants</w:t>
      </w:r>
      <w:r w:rsidRPr="006B6CD5">
        <w:rPr>
          <w:rFonts w:ascii="Arial" w:eastAsia="Times New Roman" w:hAnsi="Arial" w:cs="Arial"/>
          <w:b w:val="0"/>
          <w:bCs w:val="0"/>
          <w:color w:val="000000" w:themeColor="text1"/>
          <w:w w:val="100"/>
          <w:sz w:val="22"/>
          <w:szCs w:val="22"/>
        </w:rPr>
        <w:t xml:space="preserve"> :</w:t>
      </w:r>
    </w:p>
    <w:p w14:paraId="2A98FE9B" w14:textId="4F11C574" w:rsidR="00C70B99" w:rsidRPr="006B6CD5" w:rsidRDefault="00C70B99" w:rsidP="00C70B99">
      <w:pPr>
        <w:pStyle w:val="Titre1"/>
        <w:widowControl/>
        <w:numPr>
          <w:ilvl w:val="0"/>
          <w:numId w:val="7"/>
        </w:numPr>
        <w:spacing w:line="204" w:lineRule="auto"/>
        <w:rPr>
          <w:rFonts w:ascii="Arial" w:eastAsia="Times New Roman" w:hAnsi="Arial" w:cs="Arial"/>
          <w:b w:val="0"/>
          <w:bCs w:val="0"/>
          <w:color w:val="000000" w:themeColor="text1"/>
          <w:w w:val="100"/>
          <w:sz w:val="22"/>
          <w:szCs w:val="22"/>
        </w:rPr>
      </w:pPr>
      <w:proofErr w:type="gramStart"/>
      <w:r w:rsidRPr="006B6CD5">
        <w:rPr>
          <w:rFonts w:ascii="Arial" w:eastAsia="Times New Roman" w:hAnsi="Arial" w:cs="Arial"/>
          <w:bCs w:val="0"/>
          <w:color w:val="000000" w:themeColor="text1"/>
          <w:w w:val="100"/>
          <w:sz w:val="22"/>
          <w:szCs w:val="22"/>
        </w:rPr>
        <w:t>la</w:t>
      </w:r>
      <w:proofErr w:type="gramEnd"/>
      <w:r w:rsidRPr="006B6CD5">
        <w:rPr>
          <w:rFonts w:ascii="Arial" w:eastAsia="Times New Roman" w:hAnsi="Arial" w:cs="Arial"/>
          <w:bCs w:val="0"/>
          <w:color w:val="000000" w:themeColor="text1"/>
          <w:w w:val="100"/>
          <w:sz w:val="22"/>
          <w:szCs w:val="22"/>
        </w:rPr>
        <w:t xml:space="preserve"> reconstruction du CHU de Caen</w:t>
      </w:r>
      <w:r w:rsidRPr="006B6CD5">
        <w:rPr>
          <w:rFonts w:ascii="Arial" w:eastAsia="Times New Roman" w:hAnsi="Arial" w:cs="Arial"/>
          <w:b w:val="0"/>
          <w:bCs w:val="0"/>
          <w:color w:val="000000" w:themeColor="text1"/>
          <w:w w:val="100"/>
          <w:sz w:val="22"/>
          <w:szCs w:val="22"/>
        </w:rPr>
        <w:t> : La première phase du projet (laboratoires et logistique), actuellement en cours de réalisation, sera livrée en 2023. La mise en service du nouvel hôpital est prévu en 2027.</w:t>
      </w:r>
    </w:p>
    <w:p w14:paraId="3CFBE2F9" w14:textId="77777777" w:rsidR="00C70B99" w:rsidRDefault="00C70B99" w:rsidP="00C70B99">
      <w:pPr>
        <w:pStyle w:val="Titre1"/>
        <w:widowControl/>
        <w:numPr>
          <w:ilvl w:val="0"/>
          <w:numId w:val="7"/>
        </w:numPr>
        <w:spacing w:line="204" w:lineRule="auto"/>
        <w:rPr>
          <w:rFonts w:ascii="Arial" w:eastAsia="Times New Roman" w:hAnsi="Arial" w:cs="Arial"/>
          <w:b w:val="0"/>
          <w:bCs w:val="0"/>
          <w:color w:val="000000" w:themeColor="text1"/>
          <w:w w:val="100"/>
          <w:sz w:val="22"/>
          <w:szCs w:val="22"/>
        </w:rPr>
      </w:pPr>
      <w:r w:rsidRPr="006B6CD5">
        <w:rPr>
          <w:rFonts w:ascii="Arial" w:eastAsia="Times New Roman" w:hAnsi="Arial" w:cs="Arial"/>
          <w:bCs w:val="0"/>
          <w:color w:val="000000" w:themeColor="text1"/>
          <w:w w:val="100"/>
          <w:sz w:val="22"/>
          <w:szCs w:val="22"/>
        </w:rPr>
        <w:t xml:space="preserve">la création d’un centre de </w:t>
      </w:r>
      <w:proofErr w:type="spellStart"/>
      <w:r w:rsidRPr="006B6CD5">
        <w:rPr>
          <w:rFonts w:ascii="Arial" w:eastAsia="Times New Roman" w:hAnsi="Arial" w:cs="Arial"/>
          <w:bCs w:val="0"/>
          <w:color w:val="000000" w:themeColor="text1"/>
          <w:w w:val="100"/>
          <w:sz w:val="22"/>
          <w:szCs w:val="22"/>
        </w:rPr>
        <w:t>biopathologie</w:t>
      </w:r>
      <w:proofErr w:type="spellEnd"/>
      <w:r w:rsidRPr="006B6CD5">
        <w:rPr>
          <w:rFonts w:ascii="Arial" w:eastAsia="Times New Roman" w:hAnsi="Arial" w:cs="Arial"/>
          <w:bCs w:val="0"/>
          <w:color w:val="000000" w:themeColor="text1"/>
          <w:w w:val="100"/>
          <w:sz w:val="22"/>
          <w:szCs w:val="22"/>
        </w:rPr>
        <w:t xml:space="preserve">, de recherche clinique et </w:t>
      </w:r>
      <w:r w:rsidRPr="00C70B99">
        <w:rPr>
          <w:rFonts w:ascii="Arial" w:eastAsia="Times New Roman" w:hAnsi="Arial" w:cs="Arial"/>
          <w:b w:val="0"/>
          <w:bCs w:val="0"/>
          <w:color w:val="000000" w:themeColor="text1"/>
          <w:w w:val="100"/>
          <w:sz w:val="22"/>
          <w:szCs w:val="22"/>
        </w:rPr>
        <w:t>de formation, première  étape de la réhabilitation du Centre Henri Becquerel de Rouen</w:t>
      </w:r>
      <w:r w:rsidRPr="006B6CD5">
        <w:rPr>
          <w:rFonts w:ascii="Arial" w:eastAsia="Times New Roman" w:hAnsi="Arial" w:cs="Arial"/>
          <w:b w:val="0"/>
          <w:bCs w:val="0"/>
          <w:color w:val="000000" w:themeColor="text1"/>
          <w:w w:val="100"/>
          <w:sz w:val="22"/>
          <w:szCs w:val="22"/>
        </w:rPr>
        <w:t> : Dans le cadre du Plan de relance « </w:t>
      </w:r>
      <w:proofErr w:type="spellStart"/>
      <w:r w:rsidRPr="006B6CD5">
        <w:rPr>
          <w:rFonts w:ascii="Arial" w:eastAsia="Times New Roman" w:hAnsi="Arial" w:cs="Arial"/>
          <w:b w:val="0"/>
          <w:bCs w:val="0"/>
          <w:color w:val="000000" w:themeColor="text1"/>
          <w:w w:val="100"/>
          <w:sz w:val="22"/>
          <w:szCs w:val="22"/>
        </w:rPr>
        <w:t>React</w:t>
      </w:r>
      <w:proofErr w:type="spellEnd"/>
      <w:r w:rsidRPr="006B6CD5">
        <w:rPr>
          <w:rFonts w:ascii="Arial" w:eastAsia="Times New Roman" w:hAnsi="Arial" w:cs="Arial"/>
          <w:b w:val="0"/>
          <w:bCs w:val="0"/>
          <w:color w:val="000000" w:themeColor="text1"/>
          <w:w w:val="100"/>
          <w:sz w:val="22"/>
          <w:szCs w:val="22"/>
        </w:rPr>
        <w:t xml:space="preserve"> EU » la Région a engagé 14,5 millions d’euros de Fonds Européens pour permettre au Centre Henri-Becquerel de s’étendre et d’engager la réhabilitation de ses locaux en partie vétustes, pour pouvoir maintenir </w:t>
      </w:r>
      <w:r w:rsidRPr="006B6CD5">
        <w:rPr>
          <w:rFonts w:ascii="Arial" w:eastAsia="Times New Roman" w:hAnsi="Arial" w:cs="Arial"/>
          <w:b w:val="0"/>
          <w:bCs w:val="0"/>
          <w:color w:val="000000" w:themeColor="text1"/>
          <w:w w:val="100"/>
          <w:sz w:val="22"/>
          <w:szCs w:val="22"/>
        </w:rPr>
        <w:lastRenderedPageBreak/>
        <w:t>son niveau d’excellence, mais aussi venir en appui et en recours des autres établissements de santé normands. L’Etat a contribué à cette première phase à hauteur de 1,5 million d’euros.   </w:t>
      </w:r>
    </w:p>
    <w:p w14:paraId="3616A028" w14:textId="263F2E1F" w:rsidR="00C70B99" w:rsidRPr="00C70B99" w:rsidRDefault="00C70B99" w:rsidP="00C70B99">
      <w:pPr>
        <w:pStyle w:val="Titre1"/>
        <w:widowControl/>
        <w:numPr>
          <w:ilvl w:val="0"/>
          <w:numId w:val="7"/>
        </w:numPr>
        <w:spacing w:line="204" w:lineRule="auto"/>
        <w:rPr>
          <w:rFonts w:ascii="Arial" w:eastAsia="Times New Roman" w:hAnsi="Arial" w:cs="Arial"/>
          <w:b w:val="0"/>
          <w:bCs w:val="0"/>
          <w:color w:val="000000" w:themeColor="text1"/>
          <w:w w:val="100"/>
          <w:sz w:val="22"/>
          <w:szCs w:val="22"/>
        </w:rPr>
      </w:pPr>
      <w:proofErr w:type="gramStart"/>
      <w:r>
        <w:rPr>
          <w:rFonts w:ascii="Arial" w:eastAsia="Times New Roman" w:hAnsi="Arial" w:cs="Arial"/>
          <w:bCs w:val="0"/>
          <w:color w:val="000000" w:themeColor="text1"/>
          <w:w w:val="100"/>
          <w:sz w:val="22"/>
          <w:szCs w:val="22"/>
        </w:rPr>
        <w:t>l</w:t>
      </w:r>
      <w:r w:rsidRPr="00C70B99">
        <w:rPr>
          <w:rFonts w:ascii="Arial" w:eastAsia="Times New Roman" w:hAnsi="Arial" w:cs="Arial"/>
          <w:bCs w:val="0"/>
          <w:color w:val="000000" w:themeColor="text1"/>
          <w:w w:val="100"/>
          <w:sz w:val="22"/>
          <w:szCs w:val="22"/>
        </w:rPr>
        <w:t>e</w:t>
      </w:r>
      <w:proofErr w:type="gramEnd"/>
      <w:r w:rsidRPr="00C70B99">
        <w:rPr>
          <w:rFonts w:ascii="Arial" w:eastAsia="Times New Roman" w:hAnsi="Arial" w:cs="Arial"/>
          <w:bCs w:val="0"/>
          <w:color w:val="000000" w:themeColor="text1"/>
          <w:w w:val="100"/>
          <w:sz w:val="22"/>
          <w:szCs w:val="22"/>
        </w:rPr>
        <w:t xml:space="preserve"> développement de l’hadronthérapie à Caen à travers le programme ARCHADE</w:t>
      </w:r>
      <w:r w:rsidRPr="00C70B99">
        <w:rPr>
          <w:rFonts w:ascii="Arial" w:eastAsia="Times New Roman" w:hAnsi="Arial" w:cs="Arial"/>
          <w:b w:val="0"/>
          <w:bCs w:val="0"/>
          <w:color w:val="000000" w:themeColor="text1"/>
          <w:w w:val="100"/>
          <w:sz w:val="22"/>
          <w:szCs w:val="22"/>
        </w:rPr>
        <w:t xml:space="preserve"> qui vise à créer à Caen un centre de traitement et de recherche en hadronthérapie. Ce centre de traitement et de recherche en hadronthérapie est exploité par la SAS CYCLHAD. Le programme a démarré en 2015, il se décompose en trois phases d’un coût total estimé à 163 millions d’euros.</w:t>
      </w:r>
    </w:p>
    <w:p w14:paraId="0236D8EA" w14:textId="77777777" w:rsidR="00C70B99" w:rsidRDefault="00C70B99" w:rsidP="006B6CD5">
      <w:pPr>
        <w:rPr>
          <w:color w:val="000000"/>
        </w:rPr>
      </w:pPr>
    </w:p>
    <w:p w14:paraId="4C9FC4C1" w14:textId="2A04906D" w:rsidR="004069E3" w:rsidRPr="005A3134" w:rsidRDefault="0064657E" w:rsidP="005A3134">
      <w:pPr>
        <w:spacing w:after="120"/>
        <w:rPr>
          <w:b/>
          <w:color w:val="000000"/>
          <w:sz w:val="26"/>
          <w:szCs w:val="26"/>
        </w:rPr>
      </w:pPr>
      <w:r w:rsidRPr="0064657E">
        <w:rPr>
          <w:b/>
          <w:color w:val="000000"/>
          <w:sz w:val="26"/>
          <w:szCs w:val="26"/>
        </w:rPr>
        <w:t>Un plan qui s’inscrit dans la continuité des actions déjà engagés par la Région pour renforcer la démographie médicale</w:t>
      </w:r>
    </w:p>
    <w:p w14:paraId="55537A8D" w14:textId="55BCF214" w:rsidR="0064657E" w:rsidRPr="0064657E" w:rsidRDefault="0064657E" w:rsidP="0064657E">
      <w:pPr>
        <w:pStyle w:val="Pa1"/>
        <w:jc w:val="both"/>
        <w:rPr>
          <w:rStyle w:val="A3"/>
          <w:rFonts w:ascii="Arial" w:hAnsi="Arial" w:cs="Arial"/>
          <w:sz w:val="22"/>
          <w:szCs w:val="22"/>
        </w:rPr>
      </w:pPr>
      <w:r w:rsidRPr="0064657E">
        <w:rPr>
          <w:rFonts w:ascii="Arial" w:hAnsi="Arial" w:cs="Arial"/>
          <w:color w:val="000000"/>
          <w:sz w:val="22"/>
          <w:szCs w:val="22"/>
        </w:rPr>
        <w:t>Pour mémoire, l</w:t>
      </w:r>
      <w:r w:rsidRPr="0064657E">
        <w:rPr>
          <w:rStyle w:val="A3"/>
          <w:rFonts w:ascii="Arial" w:hAnsi="Arial" w:cs="Arial"/>
          <w:sz w:val="22"/>
          <w:szCs w:val="22"/>
        </w:rPr>
        <w:t xml:space="preserve">a Région Normandie agit fortement depuis plusieurs années pour renforcer la démographie médicale. Elle a notamment mobilisé plus de 15 millions d’euros afin d’accompagner l’implantation de Pôles et Maisons de santé, qui seront bientôt au nombre de 150 en Normandie. </w:t>
      </w:r>
    </w:p>
    <w:p w14:paraId="72CD3939" w14:textId="77777777" w:rsidR="0064657E" w:rsidRPr="0064657E" w:rsidRDefault="0064657E" w:rsidP="0064657E">
      <w:pPr>
        <w:pStyle w:val="Pa1"/>
        <w:jc w:val="both"/>
        <w:rPr>
          <w:rStyle w:val="A3"/>
          <w:rFonts w:ascii="Arial" w:hAnsi="Arial" w:cs="Arial"/>
          <w:sz w:val="22"/>
        </w:rPr>
      </w:pPr>
    </w:p>
    <w:p w14:paraId="1AF18027" w14:textId="77777777" w:rsidR="004069E3" w:rsidRDefault="0064657E" w:rsidP="0064657E">
      <w:pPr>
        <w:pStyle w:val="Pa1"/>
        <w:jc w:val="both"/>
        <w:rPr>
          <w:rStyle w:val="A3"/>
          <w:rFonts w:ascii="Arial" w:hAnsi="Arial" w:cs="Arial"/>
          <w:sz w:val="22"/>
        </w:rPr>
      </w:pPr>
      <w:r w:rsidRPr="0064657E">
        <w:rPr>
          <w:rStyle w:val="A3"/>
          <w:rFonts w:ascii="Arial" w:hAnsi="Arial" w:cs="Arial"/>
          <w:sz w:val="22"/>
        </w:rPr>
        <w:t xml:space="preserve">La Région a également créé un portail internet </w:t>
      </w:r>
      <w:proofErr w:type="spellStart"/>
      <w:r w:rsidRPr="0064657E">
        <w:rPr>
          <w:rStyle w:val="A3"/>
          <w:rFonts w:ascii="Arial" w:hAnsi="Arial" w:cs="Arial"/>
          <w:sz w:val="22"/>
        </w:rPr>
        <w:t>Med’Instal</w:t>
      </w:r>
      <w:proofErr w:type="spellEnd"/>
      <w:r w:rsidRPr="0064657E">
        <w:rPr>
          <w:rStyle w:val="A3"/>
          <w:rFonts w:ascii="Arial" w:hAnsi="Arial" w:cs="Arial"/>
          <w:sz w:val="22"/>
        </w:rPr>
        <w:t xml:space="preserve"> pour attirer et faciliter l’installation des professionnels de santé en Normandie. </w:t>
      </w:r>
    </w:p>
    <w:p w14:paraId="25E37C21" w14:textId="77777777" w:rsidR="004069E3" w:rsidRDefault="004069E3" w:rsidP="0064657E">
      <w:pPr>
        <w:pStyle w:val="Pa1"/>
        <w:jc w:val="both"/>
        <w:rPr>
          <w:rStyle w:val="A3"/>
          <w:rFonts w:ascii="Arial" w:hAnsi="Arial" w:cs="Arial"/>
          <w:sz w:val="22"/>
        </w:rPr>
      </w:pPr>
    </w:p>
    <w:p w14:paraId="513CE4D2" w14:textId="3DCE1409" w:rsidR="0064657E" w:rsidRPr="0064657E" w:rsidRDefault="0064657E" w:rsidP="0064657E">
      <w:pPr>
        <w:pStyle w:val="Pa1"/>
        <w:jc w:val="both"/>
        <w:rPr>
          <w:rStyle w:val="A3"/>
          <w:rFonts w:ascii="Arial" w:hAnsi="Arial" w:cs="Arial"/>
          <w:sz w:val="22"/>
        </w:rPr>
      </w:pPr>
      <w:r w:rsidRPr="0064657E">
        <w:rPr>
          <w:rStyle w:val="A3"/>
          <w:rFonts w:ascii="Arial" w:hAnsi="Arial" w:cs="Arial"/>
          <w:sz w:val="22"/>
        </w:rPr>
        <w:t xml:space="preserve">Elle soutient également les projets visant à développer des initiatives de télémédecine ou de </w:t>
      </w:r>
      <w:proofErr w:type="spellStart"/>
      <w:r w:rsidRPr="0064657E">
        <w:rPr>
          <w:rStyle w:val="A3"/>
          <w:rFonts w:ascii="Arial" w:hAnsi="Arial" w:cs="Arial"/>
          <w:sz w:val="22"/>
        </w:rPr>
        <w:t>Médicobus</w:t>
      </w:r>
      <w:proofErr w:type="spellEnd"/>
      <w:r w:rsidRPr="0064657E">
        <w:rPr>
          <w:rStyle w:val="A3"/>
          <w:rFonts w:ascii="Arial" w:hAnsi="Arial" w:cs="Arial"/>
          <w:sz w:val="22"/>
        </w:rPr>
        <w:t xml:space="preserve"> pour prévenir les situations de renoncement aux soins liées à la distance entre le domicile et l’offre de soins.</w:t>
      </w:r>
    </w:p>
    <w:p w14:paraId="6B65C486" w14:textId="77777777" w:rsidR="0064657E" w:rsidRPr="0064657E" w:rsidRDefault="0064657E" w:rsidP="0064657E">
      <w:pPr>
        <w:pStyle w:val="Pa1"/>
        <w:jc w:val="both"/>
        <w:rPr>
          <w:rStyle w:val="A3"/>
          <w:rFonts w:ascii="Arial" w:hAnsi="Arial" w:cs="Arial"/>
          <w:sz w:val="22"/>
        </w:rPr>
      </w:pPr>
    </w:p>
    <w:p w14:paraId="1F98C707" w14:textId="4216F5D8" w:rsidR="0064657E" w:rsidRDefault="0064657E" w:rsidP="0064657E">
      <w:pPr>
        <w:pStyle w:val="Pa1"/>
        <w:jc w:val="both"/>
        <w:rPr>
          <w:rStyle w:val="A3"/>
          <w:rFonts w:ascii="Arial" w:hAnsi="Arial" w:cs="Arial"/>
          <w:sz w:val="22"/>
        </w:rPr>
      </w:pPr>
      <w:r w:rsidRPr="0064657E">
        <w:rPr>
          <w:rStyle w:val="A3"/>
          <w:rFonts w:ascii="Arial" w:hAnsi="Arial" w:cs="Arial"/>
          <w:sz w:val="22"/>
        </w:rPr>
        <w:t>Par ailleurs, dans le but d’améliorer l’offre de formation en lien avec la santé, la Région finance chaque année plus de 9 000 parcours d’étudiants en formations sanitaires et sociales et s’est fixé</w:t>
      </w:r>
      <w:r w:rsidR="003D1EA0">
        <w:rPr>
          <w:rStyle w:val="A3"/>
          <w:rFonts w:ascii="Arial" w:hAnsi="Arial" w:cs="Arial"/>
          <w:sz w:val="22"/>
        </w:rPr>
        <w:t>e</w:t>
      </w:r>
      <w:r w:rsidRPr="0064657E">
        <w:rPr>
          <w:rStyle w:val="A3"/>
          <w:rFonts w:ascii="Arial" w:hAnsi="Arial" w:cs="Arial"/>
          <w:sz w:val="22"/>
        </w:rPr>
        <w:t xml:space="preserve"> pour objectif d’en ouvrir 800 supplémentaires pour les infirmiers, les aides-soignants et les accompagnants éducatifs et sociaux d’ici 2022.</w:t>
      </w:r>
    </w:p>
    <w:p w14:paraId="0967F028" w14:textId="7374D1F8" w:rsidR="003D1EA0" w:rsidRDefault="003D1EA0" w:rsidP="003D1EA0">
      <w:pPr>
        <w:pStyle w:val="Default"/>
      </w:pPr>
    </w:p>
    <w:p w14:paraId="628D14B6" w14:textId="2652D258" w:rsidR="0077707A" w:rsidRPr="005A3134" w:rsidRDefault="0077707A" w:rsidP="0077707A">
      <w:pPr>
        <w:pStyle w:val="Default"/>
        <w:jc w:val="both"/>
        <w:rPr>
          <w:rFonts w:ascii="Arial" w:hAnsi="Arial" w:cs="Arial"/>
          <w:sz w:val="22"/>
        </w:rPr>
      </w:pPr>
      <w:bookmarkStart w:id="3" w:name="_Hlk87280138"/>
      <w:r w:rsidRPr="005A3134">
        <w:rPr>
          <w:rFonts w:ascii="Arial" w:hAnsi="Arial" w:cs="Arial"/>
          <w:sz w:val="22"/>
        </w:rPr>
        <w:t>Enfin, la Région s’investit aussi pour la c</w:t>
      </w:r>
      <w:r w:rsidR="004069E3" w:rsidRPr="005A3134">
        <w:rPr>
          <w:rFonts w:ascii="Arial" w:hAnsi="Arial" w:cs="Arial"/>
          <w:sz w:val="22"/>
        </w:rPr>
        <w:t xml:space="preserve">réation de nouvelles formations : </w:t>
      </w:r>
      <w:r w:rsidRPr="005A3134">
        <w:rPr>
          <w:rFonts w:ascii="Arial" w:hAnsi="Arial" w:cs="Arial"/>
          <w:sz w:val="22"/>
        </w:rPr>
        <w:t>l’</w:t>
      </w:r>
      <w:r w:rsidR="004069E3" w:rsidRPr="005A3134">
        <w:rPr>
          <w:rFonts w:ascii="Arial" w:hAnsi="Arial" w:cs="Arial"/>
          <w:sz w:val="22"/>
        </w:rPr>
        <w:t xml:space="preserve">ouverture de la première formation d’audioprothésiste de Normandie à la rentrée 2019 à Saint-Sébastien de </w:t>
      </w:r>
      <w:proofErr w:type="spellStart"/>
      <w:r w:rsidR="004069E3" w:rsidRPr="005A3134">
        <w:rPr>
          <w:rFonts w:ascii="Arial" w:hAnsi="Arial" w:cs="Arial"/>
          <w:sz w:val="22"/>
        </w:rPr>
        <w:t>Morsent</w:t>
      </w:r>
      <w:proofErr w:type="spellEnd"/>
      <w:r w:rsidRPr="005A3134">
        <w:rPr>
          <w:rFonts w:ascii="Arial" w:hAnsi="Arial" w:cs="Arial"/>
          <w:sz w:val="22"/>
        </w:rPr>
        <w:t xml:space="preserve">, le projet d’école de formation à l’orthoptie, </w:t>
      </w:r>
      <w:r w:rsidR="005A3134">
        <w:rPr>
          <w:rFonts w:ascii="Arial" w:hAnsi="Arial" w:cs="Arial"/>
          <w:sz w:val="22"/>
        </w:rPr>
        <w:t>l’</w:t>
      </w:r>
      <w:r w:rsidR="005A3134" w:rsidRPr="005A3134">
        <w:rPr>
          <w:rFonts w:ascii="Arial" w:hAnsi="Arial" w:cs="Arial"/>
          <w:sz w:val="22"/>
        </w:rPr>
        <w:t xml:space="preserve">ouverture de sièges dentaires </w:t>
      </w:r>
      <w:r w:rsidR="005A3134">
        <w:rPr>
          <w:rFonts w:ascii="Arial" w:hAnsi="Arial" w:cs="Arial"/>
          <w:sz w:val="22"/>
        </w:rPr>
        <w:t xml:space="preserve">supplémentaires </w:t>
      </w:r>
      <w:r w:rsidR="005A3134" w:rsidRPr="005A3134">
        <w:rPr>
          <w:rFonts w:ascii="Arial" w:hAnsi="Arial" w:cs="Arial"/>
          <w:sz w:val="22"/>
        </w:rPr>
        <w:t>dans la perspective</w:t>
      </w:r>
      <w:r w:rsidRPr="005A3134">
        <w:rPr>
          <w:rFonts w:ascii="Arial" w:hAnsi="Arial" w:cs="Arial"/>
          <w:sz w:val="22"/>
        </w:rPr>
        <w:t xml:space="preserve"> </w:t>
      </w:r>
      <w:r w:rsidR="005A3134" w:rsidRPr="005A3134">
        <w:rPr>
          <w:rFonts w:ascii="Arial" w:hAnsi="Arial" w:cs="Arial"/>
          <w:sz w:val="22"/>
        </w:rPr>
        <w:t>de l’implantation d’une formation universitaire complète en odontologie en Normandie à l’horizon 2025.</w:t>
      </w:r>
    </w:p>
    <w:bookmarkEnd w:id="3"/>
    <w:p w14:paraId="00C19279" w14:textId="1D1CCDFA" w:rsidR="0077707A" w:rsidRDefault="0077707A" w:rsidP="006B6CD5">
      <w:pPr>
        <w:rPr>
          <w:color w:val="000000"/>
        </w:rPr>
      </w:pPr>
    </w:p>
    <w:p w14:paraId="7516B521" w14:textId="77777777" w:rsidR="0077707A" w:rsidRPr="006B6CD5" w:rsidRDefault="0077707A" w:rsidP="006B6CD5">
      <w:pPr>
        <w:rPr>
          <w:color w:val="000000"/>
        </w:rPr>
      </w:pPr>
    </w:p>
    <w:p w14:paraId="42EA923D" w14:textId="0A35B4B4" w:rsidR="00C70B99" w:rsidRDefault="006B6CD5" w:rsidP="006B6CD5">
      <w:pPr>
        <w:rPr>
          <w:color w:val="000000"/>
        </w:rPr>
      </w:pPr>
      <w:r w:rsidRPr="006B6CD5">
        <w:rPr>
          <w:color w:val="000000"/>
        </w:rPr>
        <w:t xml:space="preserve">Contact presse : </w:t>
      </w:r>
    </w:p>
    <w:p w14:paraId="7746AFCD" w14:textId="20E19C4B" w:rsidR="00C70B99" w:rsidRDefault="00C70B99" w:rsidP="00C70B99">
      <w:pPr>
        <w:rPr>
          <w:color w:val="000000"/>
        </w:rPr>
      </w:pPr>
      <w:r w:rsidRPr="00C70B99">
        <w:rPr>
          <w:color w:val="000000"/>
        </w:rPr>
        <w:t>Charlotte Chanteloup - 06 42 08 11 68</w:t>
      </w:r>
      <w:r>
        <w:rPr>
          <w:color w:val="000000"/>
        </w:rPr>
        <w:t xml:space="preserve"> - </w:t>
      </w:r>
      <w:hyperlink r:id="rId7" w:history="1">
        <w:r w:rsidRPr="001164E9">
          <w:rPr>
            <w:rStyle w:val="Lienhypertexte"/>
          </w:rPr>
          <w:t>charlotte.chanteloup@normandie.fr</w:t>
        </w:r>
      </w:hyperlink>
    </w:p>
    <w:p w14:paraId="4E7F55F5" w14:textId="77777777" w:rsidR="00C70B99" w:rsidRDefault="00C70B99" w:rsidP="00C70B99">
      <w:pPr>
        <w:rPr>
          <w:color w:val="000000"/>
        </w:rPr>
      </w:pPr>
    </w:p>
    <w:p w14:paraId="5BDD56AF" w14:textId="555351DD" w:rsidR="00C70B99" w:rsidRDefault="00C70B99" w:rsidP="006B6CD5">
      <w:pPr>
        <w:rPr>
          <w:color w:val="000000"/>
        </w:rPr>
      </w:pPr>
    </w:p>
    <w:p w14:paraId="78786067" w14:textId="77777777" w:rsidR="00C70B99" w:rsidRPr="006B6CD5" w:rsidRDefault="00C70B99" w:rsidP="006B6CD5">
      <w:pPr>
        <w:rPr>
          <w:color w:val="000000"/>
        </w:rPr>
      </w:pPr>
    </w:p>
    <w:bookmarkEnd w:id="1"/>
    <w:p w14:paraId="5BF8AA3F" w14:textId="77777777" w:rsidR="00862187" w:rsidRDefault="00862187" w:rsidP="00862187">
      <w:pPr>
        <w:pStyle w:val="Titre1"/>
        <w:ind w:left="0"/>
        <w:rPr>
          <w:rFonts w:ascii="Arial" w:eastAsia="Times New Roman" w:hAnsi="Arial" w:cs="Arial"/>
          <w:b w:val="0"/>
          <w:bCs w:val="0"/>
          <w:color w:val="000000" w:themeColor="text1"/>
          <w:w w:val="100"/>
          <w:sz w:val="22"/>
          <w:szCs w:val="22"/>
        </w:rPr>
      </w:pPr>
    </w:p>
    <w:p w14:paraId="6DA81ABC" w14:textId="77777777" w:rsidR="00862187" w:rsidRDefault="00862187" w:rsidP="00862187">
      <w:pPr>
        <w:pStyle w:val="Titre1"/>
        <w:ind w:left="0"/>
        <w:rPr>
          <w:rFonts w:ascii="Arial" w:eastAsia="Times New Roman" w:hAnsi="Arial" w:cs="Arial"/>
          <w:b w:val="0"/>
          <w:bCs w:val="0"/>
          <w:color w:val="000000" w:themeColor="text1"/>
          <w:w w:val="100"/>
          <w:sz w:val="22"/>
          <w:szCs w:val="22"/>
        </w:rPr>
      </w:pPr>
    </w:p>
    <w:p w14:paraId="6516950E" w14:textId="77777777" w:rsidR="00862187" w:rsidRDefault="00862187" w:rsidP="00862187">
      <w:pPr>
        <w:pStyle w:val="Titre1"/>
        <w:ind w:left="0"/>
        <w:rPr>
          <w:rFonts w:ascii="Arial" w:eastAsia="Times New Roman" w:hAnsi="Arial" w:cs="Arial"/>
          <w:b w:val="0"/>
          <w:bCs w:val="0"/>
          <w:color w:val="000000" w:themeColor="text1"/>
          <w:w w:val="100"/>
          <w:sz w:val="22"/>
          <w:szCs w:val="22"/>
        </w:rPr>
      </w:pPr>
    </w:p>
    <w:p w14:paraId="795F0B47" w14:textId="4F082F04" w:rsidR="001831AF" w:rsidRPr="006B6CD5" w:rsidRDefault="001831AF" w:rsidP="001831AF">
      <w:pPr>
        <w:rPr>
          <w:rFonts w:asciiTheme="minorHAnsi" w:hAnsiTheme="minorHAnsi" w:cstheme="minorHAnsi"/>
          <w:b/>
          <w:bCs/>
          <w:w w:val="85"/>
          <w:sz w:val="24"/>
          <w:szCs w:val="24"/>
        </w:rPr>
      </w:pPr>
    </w:p>
    <w:sectPr w:rsidR="001831AF" w:rsidRPr="006B6CD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rianne Light">
    <w:altName w:val="Calibri"/>
    <w:panose1 w:val="00000000000000000000"/>
    <w:charset w:val="00"/>
    <w:family w:val="modern"/>
    <w:notTrueType/>
    <w:pitch w:val="variable"/>
    <w:sig w:usb0="0000000F"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arianne">
    <w:altName w:val="Calibri"/>
    <w:panose1 w:val="00000000000000000000"/>
    <w:charset w:val="00"/>
    <w:family w:val="modern"/>
    <w:notTrueType/>
    <w:pitch w:val="variable"/>
    <w:sig w:usb0="0000000F" w:usb1="00000000" w:usb2="00000000" w:usb3="00000000" w:csb0="00000003" w:csb1="00000000"/>
  </w:font>
  <w:font w:name="Avenir Book">
    <w:altName w:val="Tw Cen M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DA1508"/>
    <w:multiLevelType w:val="hybridMultilevel"/>
    <w:tmpl w:val="CE2E78EE"/>
    <w:lvl w:ilvl="0" w:tplc="040C0001">
      <w:start w:val="1"/>
      <w:numFmt w:val="bullet"/>
      <w:lvlText w:val=""/>
      <w:lvlJc w:val="left"/>
      <w:pPr>
        <w:ind w:left="720" w:hanging="360"/>
      </w:pPr>
      <w:rPr>
        <w:rFonts w:ascii="Symbol" w:hAnsi="Symbol" w:hint="default"/>
      </w:rPr>
    </w:lvl>
    <w:lvl w:ilvl="1" w:tplc="BB70465E">
      <w:numFmt w:val="bullet"/>
      <w:lvlText w:val="-"/>
      <w:lvlJc w:val="left"/>
      <w:pPr>
        <w:ind w:left="1440" w:hanging="360"/>
      </w:pPr>
      <w:rPr>
        <w:rFonts w:ascii="Marianne Light" w:eastAsia="Times New Roman" w:hAnsi="Marianne Light"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CEB7611"/>
    <w:multiLevelType w:val="hybridMultilevel"/>
    <w:tmpl w:val="6902E028"/>
    <w:lvl w:ilvl="0" w:tplc="040C0001">
      <w:start w:val="1"/>
      <w:numFmt w:val="bullet"/>
      <w:lvlText w:val=""/>
      <w:lvlJc w:val="left"/>
      <w:pPr>
        <w:ind w:left="2160" w:hanging="360"/>
      </w:pPr>
      <w:rPr>
        <w:rFonts w:ascii="Symbol" w:hAnsi="Symbol" w:hint="default"/>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2" w15:restartNumberingAfterBreak="0">
    <w:nsid w:val="52AE34BC"/>
    <w:multiLevelType w:val="hybridMultilevel"/>
    <w:tmpl w:val="756C3FD8"/>
    <w:lvl w:ilvl="0" w:tplc="40EE4848">
      <w:numFmt w:val="bullet"/>
      <w:lvlText w:val="-"/>
      <w:lvlJc w:val="left"/>
      <w:pPr>
        <w:ind w:left="720" w:hanging="360"/>
      </w:pPr>
      <w:rPr>
        <w:rFonts w:ascii="Arial" w:eastAsia="Arial"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623F5D32"/>
    <w:multiLevelType w:val="hybridMultilevel"/>
    <w:tmpl w:val="12AC9A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9621C4F"/>
    <w:multiLevelType w:val="hybridMultilevel"/>
    <w:tmpl w:val="5F3AAA26"/>
    <w:lvl w:ilvl="0" w:tplc="08061134">
      <w:start w:val="710"/>
      <w:numFmt w:val="bullet"/>
      <w:lvlText w:val="-"/>
      <w:lvlJc w:val="left"/>
      <w:pPr>
        <w:ind w:left="720" w:hanging="360"/>
      </w:pPr>
      <w:rPr>
        <w:rFonts w:ascii="Arial" w:eastAsia="Arial" w:hAnsi="Arial" w:cs="Arial" w:hint="default"/>
        <w:color w:val="auto"/>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74F3719A"/>
    <w:multiLevelType w:val="multilevel"/>
    <w:tmpl w:val="395AC492"/>
    <w:lvl w:ilvl="0">
      <w:start w:val="1"/>
      <w:numFmt w:val="decimal"/>
      <w:lvlText w:val="%1"/>
      <w:lvlJc w:val="left"/>
      <w:pPr>
        <w:ind w:left="432" w:hanging="432"/>
      </w:pPr>
    </w:lvl>
    <w:lvl w:ilvl="1">
      <w:start w:val="1"/>
      <w:numFmt w:val="decimal"/>
      <w:pStyle w:val="Titre2"/>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1"/>
  </w:num>
  <w:num w:numId="2">
    <w:abstractNumId w:val="3"/>
  </w:num>
  <w:num w:numId="3">
    <w:abstractNumId w:val="5"/>
  </w:num>
  <w:num w:numId="4">
    <w:abstractNumId w:val="0"/>
  </w:num>
  <w:num w:numId="5">
    <w:abstractNumId w:val="4"/>
  </w:num>
  <w:num w:numId="6">
    <w:abstractNumId w:val="3"/>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DC0"/>
    <w:rsid w:val="000A118B"/>
    <w:rsid w:val="001043C7"/>
    <w:rsid w:val="001831AF"/>
    <w:rsid w:val="003107AA"/>
    <w:rsid w:val="00311396"/>
    <w:rsid w:val="00342718"/>
    <w:rsid w:val="00394A25"/>
    <w:rsid w:val="003D1EA0"/>
    <w:rsid w:val="004069E3"/>
    <w:rsid w:val="00495E52"/>
    <w:rsid w:val="005271AF"/>
    <w:rsid w:val="00546D42"/>
    <w:rsid w:val="005977E2"/>
    <w:rsid w:val="005A3134"/>
    <w:rsid w:val="0064657E"/>
    <w:rsid w:val="006B6CD5"/>
    <w:rsid w:val="0077707A"/>
    <w:rsid w:val="00813D0E"/>
    <w:rsid w:val="00862187"/>
    <w:rsid w:val="00887DBE"/>
    <w:rsid w:val="008A5246"/>
    <w:rsid w:val="00932F87"/>
    <w:rsid w:val="00986016"/>
    <w:rsid w:val="00B30A02"/>
    <w:rsid w:val="00B42DC0"/>
    <w:rsid w:val="00C653EF"/>
    <w:rsid w:val="00C70B99"/>
    <w:rsid w:val="00CB1672"/>
    <w:rsid w:val="00D140DC"/>
    <w:rsid w:val="00D46F9A"/>
    <w:rsid w:val="00DC394B"/>
    <w:rsid w:val="00DD48E5"/>
    <w:rsid w:val="00E844EC"/>
    <w:rsid w:val="00F81DC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DE93E"/>
  <w15:chartTrackingRefBased/>
  <w15:docId w15:val="{23C1C189-AAC3-4329-9C5A-6FEAB0E48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831AF"/>
    <w:pPr>
      <w:widowControl w:val="0"/>
      <w:autoSpaceDE w:val="0"/>
      <w:autoSpaceDN w:val="0"/>
      <w:spacing w:after="0" w:line="240" w:lineRule="auto"/>
    </w:pPr>
    <w:rPr>
      <w:rFonts w:ascii="Arial" w:eastAsia="Arial" w:hAnsi="Arial" w:cs="Arial"/>
    </w:rPr>
  </w:style>
  <w:style w:type="paragraph" w:styleId="Titre1">
    <w:name w:val="heading 1"/>
    <w:basedOn w:val="Normal"/>
    <w:link w:val="Titre1Car"/>
    <w:uiPriority w:val="9"/>
    <w:qFormat/>
    <w:rsid w:val="001831AF"/>
    <w:pPr>
      <w:spacing w:before="232" w:line="213" w:lineRule="auto"/>
      <w:ind w:left="136" w:right="150"/>
      <w:jc w:val="both"/>
      <w:outlineLvl w:val="0"/>
    </w:pPr>
    <w:rPr>
      <w:rFonts w:asciiTheme="minorHAnsi" w:hAnsiTheme="minorHAnsi" w:cstheme="minorHAnsi"/>
      <w:b/>
      <w:bCs/>
      <w:w w:val="85"/>
      <w:sz w:val="24"/>
      <w:szCs w:val="24"/>
    </w:rPr>
  </w:style>
  <w:style w:type="paragraph" w:styleId="Titre2">
    <w:name w:val="heading 2"/>
    <w:basedOn w:val="Normal"/>
    <w:next w:val="Normal"/>
    <w:link w:val="Titre2Car"/>
    <w:uiPriority w:val="9"/>
    <w:unhideWhenUsed/>
    <w:qFormat/>
    <w:rsid w:val="001831AF"/>
    <w:pPr>
      <w:keepNext/>
      <w:keepLines/>
      <w:numPr>
        <w:ilvl w:val="1"/>
        <w:numId w:val="3"/>
      </w:numPr>
      <w:spacing w:before="40"/>
      <w:jc w:val="both"/>
      <w:outlineLvl w:val="1"/>
    </w:pPr>
    <w:rPr>
      <w:rFonts w:ascii="Marianne" w:eastAsiaTheme="majorEastAsia" w:hAnsi="Marianne" w:cs="Calibri"/>
      <w:color w:val="000000" w:themeColor="text1"/>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831AF"/>
    <w:rPr>
      <w:rFonts w:eastAsia="Arial" w:cstheme="minorHAnsi"/>
      <w:b/>
      <w:bCs/>
      <w:w w:val="85"/>
      <w:sz w:val="24"/>
      <w:szCs w:val="24"/>
    </w:rPr>
  </w:style>
  <w:style w:type="character" w:customStyle="1" w:styleId="Titre2Car">
    <w:name w:val="Titre 2 Car"/>
    <w:basedOn w:val="Policepardfaut"/>
    <w:link w:val="Titre2"/>
    <w:uiPriority w:val="9"/>
    <w:rsid w:val="001831AF"/>
    <w:rPr>
      <w:rFonts w:ascii="Marianne" w:eastAsiaTheme="majorEastAsia" w:hAnsi="Marianne" w:cs="Calibri"/>
      <w:color w:val="000000" w:themeColor="text1"/>
      <w:sz w:val="24"/>
      <w:szCs w:val="24"/>
    </w:rPr>
  </w:style>
  <w:style w:type="paragraph" w:styleId="Paragraphedeliste">
    <w:name w:val="List Paragraph"/>
    <w:basedOn w:val="Normal"/>
    <w:uiPriority w:val="34"/>
    <w:qFormat/>
    <w:rsid w:val="001831AF"/>
    <w:pPr>
      <w:spacing w:line="252" w:lineRule="exact"/>
      <w:ind w:left="857" w:hanging="363"/>
    </w:pPr>
  </w:style>
  <w:style w:type="paragraph" w:customStyle="1" w:styleId="corps-texte">
    <w:name w:val="corps-texte"/>
    <w:basedOn w:val="Normal"/>
    <w:link w:val="corps-texteCar"/>
    <w:qFormat/>
    <w:rsid w:val="001831AF"/>
    <w:pPr>
      <w:widowControl/>
      <w:tabs>
        <w:tab w:val="left" w:pos="9356"/>
      </w:tabs>
      <w:autoSpaceDE/>
      <w:autoSpaceDN/>
    </w:pPr>
    <w:rPr>
      <w:rFonts w:ascii="Marianne Light" w:eastAsia="Times New Roman" w:hAnsi="Marianne Light"/>
      <w:sz w:val="20"/>
      <w:szCs w:val="20"/>
      <w:lang w:eastAsia="fr-FR"/>
    </w:rPr>
  </w:style>
  <w:style w:type="character" w:customStyle="1" w:styleId="corps-texteCar">
    <w:name w:val="corps-texte Car"/>
    <w:basedOn w:val="Policepardfaut"/>
    <w:link w:val="corps-texte"/>
    <w:rsid w:val="001831AF"/>
    <w:rPr>
      <w:rFonts w:ascii="Marianne Light" w:eastAsia="Times New Roman" w:hAnsi="Marianne Light" w:cs="Arial"/>
      <w:sz w:val="20"/>
      <w:szCs w:val="20"/>
      <w:lang w:eastAsia="fr-FR"/>
    </w:rPr>
  </w:style>
  <w:style w:type="character" w:customStyle="1" w:styleId="Aucun">
    <w:name w:val="Aucun"/>
    <w:basedOn w:val="Policepardfaut"/>
    <w:rsid w:val="001831AF"/>
  </w:style>
  <w:style w:type="table" w:styleId="Grilledutableau">
    <w:name w:val="Table Grid"/>
    <w:basedOn w:val="TableauNormal"/>
    <w:uiPriority w:val="39"/>
    <w:rsid w:val="001831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342718"/>
    <w:rPr>
      <w:color w:val="0563C1"/>
      <w:u w:val="single"/>
    </w:rPr>
  </w:style>
  <w:style w:type="paragraph" w:customStyle="1" w:styleId="Default">
    <w:name w:val="Default"/>
    <w:rsid w:val="0064657E"/>
    <w:pPr>
      <w:autoSpaceDE w:val="0"/>
      <w:autoSpaceDN w:val="0"/>
      <w:adjustRightInd w:val="0"/>
      <w:spacing w:after="0" w:line="240" w:lineRule="auto"/>
    </w:pPr>
    <w:rPr>
      <w:rFonts w:ascii="Avenir Book" w:hAnsi="Avenir Book" w:cs="Avenir Book"/>
      <w:color w:val="000000"/>
      <w:sz w:val="24"/>
      <w:szCs w:val="24"/>
    </w:rPr>
  </w:style>
  <w:style w:type="paragraph" w:customStyle="1" w:styleId="Pa1">
    <w:name w:val="Pa1"/>
    <w:basedOn w:val="Default"/>
    <w:next w:val="Default"/>
    <w:uiPriority w:val="99"/>
    <w:rsid w:val="0064657E"/>
    <w:pPr>
      <w:spacing w:line="241" w:lineRule="atLeast"/>
    </w:pPr>
    <w:rPr>
      <w:rFonts w:cstheme="minorBidi"/>
      <w:color w:val="auto"/>
    </w:rPr>
  </w:style>
  <w:style w:type="character" w:customStyle="1" w:styleId="A3">
    <w:name w:val="A3"/>
    <w:uiPriority w:val="99"/>
    <w:rsid w:val="0064657E"/>
    <w:rPr>
      <w:rFonts w:cs="Avenir Book"/>
      <w:color w:val="221E1F"/>
      <w:sz w:val="20"/>
      <w:szCs w:val="20"/>
    </w:rPr>
  </w:style>
  <w:style w:type="character" w:styleId="Mentionnonrsolue">
    <w:name w:val="Unresolved Mention"/>
    <w:basedOn w:val="Policepardfaut"/>
    <w:uiPriority w:val="99"/>
    <w:semiHidden/>
    <w:unhideWhenUsed/>
    <w:rsid w:val="00C70B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6394854">
      <w:bodyDiv w:val="1"/>
      <w:marLeft w:val="0"/>
      <w:marRight w:val="0"/>
      <w:marTop w:val="0"/>
      <w:marBottom w:val="0"/>
      <w:divBdr>
        <w:top w:val="none" w:sz="0" w:space="0" w:color="auto"/>
        <w:left w:val="none" w:sz="0" w:space="0" w:color="auto"/>
        <w:bottom w:val="none" w:sz="0" w:space="0" w:color="auto"/>
        <w:right w:val="none" w:sz="0" w:space="0" w:color="auto"/>
      </w:divBdr>
    </w:div>
    <w:div w:id="1860653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harlotte.chanteloup@normandie.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410</TotalTime>
  <Pages>3</Pages>
  <Words>985</Words>
  <Characters>5420</Characters>
  <Application>Microsoft Office Word</Application>
  <DocSecurity>0</DocSecurity>
  <Lines>45</Lines>
  <Paragraphs>12</Paragraphs>
  <ScaleCrop>false</ScaleCrop>
  <HeadingPairs>
    <vt:vector size="2" baseType="variant">
      <vt:variant>
        <vt:lpstr>Titre</vt:lpstr>
      </vt:variant>
      <vt:variant>
        <vt:i4>1</vt:i4>
      </vt:variant>
    </vt:vector>
  </HeadingPairs>
  <TitlesOfParts>
    <vt:vector size="1" baseType="lpstr">
      <vt:lpstr/>
    </vt:vector>
  </TitlesOfParts>
  <Company>Region Normandie</Company>
  <LinksUpToDate>false</LinksUpToDate>
  <CharactersWithSpaces>6393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CHANTELOUP Charlotte</dc:creator>
  <cp:keywords/>
  <dc:description/>
  <cp:lastModifiedBy>CHANTELOUP Charlotte</cp:lastModifiedBy>
  <cp:revision>8</cp:revision>
  <dcterms:created xsi:type="dcterms:W3CDTF">2021-11-02T16:10:00Z</dcterms:created>
  <dcterms:modified xsi:type="dcterms:W3CDTF">2021-11-08T15:22:00Z</dcterms:modified>
</cp:coreProperties>
</file>