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2D601" w14:textId="11A89D1B" w:rsidR="00B85B5B" w:rsidRDefault="00B85B5B" w:rsidP="00B85B5B">
      <w:bookmarkStart w:id="0" w:name="_Hlk86158691"/>
      <w:bookmarkStart w:id="1" w:name="_GoBack"/>
      <w:r>
        <w:rPr>
          <w:noProof/>
          <w:lang w:eastAsia="fr-FR"/>
        </w:rPr>
        <w:drawing>
          <wp:inline distT="0" distB="0" distL="0" distR="0" wp14:anchorId="747207D2" wp14:editId="57090F9B">
            <wp:extent cx="5505450" cy="533400"/>
            <wp:effectExtent l="0" t="0" r="0" b="0"/>
            <wp:docPr id="3" name="Image 3" descr="cid:image001.png@01D7B600.FC6D0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B600.FC6D0F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505450" cy="533400"/>
                    </a:xfrm>
                    <a:prstGeom prst="rect">
                      <a:avLst/>
                    </a:prstGeom>
                    <a:noFill/>
                    <a:ln>
                      <a:noFill/>
                    </a:ln>
                  </pic:spPr>
                </pic:pic>
              </a:graphicData>
            </a:graphic>
          </wp:inline>
        </w:drawing>
      </w:r>
    </w:p>
    <w:p w14:paraId="3588BA4F" w14:textId="77777777" w:rsidR="00B85B5B" w:rsidRDefault="00B85B5B" w:rsidP="00B85B5B"/>
    <w:tbl>
      <w:tblPr>
        <w:tblW w:w="0" w:type="auto"/>
        <w:tblCellMar>
          <w:left w:w="0" w:type="dxa"/>
          <w:right w:w="0" w:type="dxa"/>
        </w:tblCellMar>
        <w:tblLook w:val="04A0" w:firstRow="1" w:lastRow="0" w:firstColumn="1" w:lastColumn="0" w:noHBand="0" w:noVBand="1"/>
      </w:tblPr>
      <w:tblGrid>
        <w:gridCol w:w="3964"/>
        <w:gridCol w:w="4678"/>
      </w:tblGrid>
      <w:tr w:rsidR="00B85B5B" w14:paraId="3FCD4812" w14:textId="77777777" w:rsidTr="00B85B5B">
        <w:tc>
          <w:tcPr>
            <w:tcW w:w="3964" w:type="dxa"/>
            <w:tcMar>
              <w:top w:w="0" w:type="dxa"/>
              <w:left w:w="108" w:type="dxa"/>
              <w:bottom w:w="0" w:type="dxa"/>
              <w:right w:w="108" w:type="dxa"/>
            </w:tcMar>
            <w:vAlign w:val="center"/>
            <w:hideMark/>
          </w:tcPr>
          <w:p w14:paraId="59602949" w14:textId="79B3C367" w:rsidR="00B85B5B" w:rsidRDefault="00B85B5B">
            <w:pPr>
              <w:jc w:val="center"/>
              <w:rPr>
                <w:rFonts w:ascii="Arial" w:hAnsi="Arial" w:cs="Arial"/>
              </w:rPr>
            </w:pPr>
            <w:r>
              <w:rPr>
                <w:rFonts w:ascii="Arial" w:hAnsi="Arial" w:cs="Arial"/>
                <w:noProof/>
                <w:lang w:eastAsia="fr-FR"/>
              </w:rPr>
              <w:drawing>
                <wp:inline distT="0" distB="0" distL="0" distR="0" wp14:anchorId="55A2E72B" wp14:editId="69B8409F">
                  <wp:extent cx="1104900" cy="1041156"/>
                  <wp:effectExtent l="0" t="0" r="0" b="6985"/>
                  <wp:docPr id="2" name="Image 2" descr="cid:image004.png@01D7B6AA.D68AB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7B6AA.D68AB8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06746" cy="1042896"/>
                          </a:xfrm>
                          <a:prstGeom prst="rect">
                            <a:avLst/>
                          </a:prstGeom>
                          <a:noFill/>
                          <a:ln>
                            <a:noFill/>
                          </a:ln>
                        </pic:spPr>
                      </pic:pic>
                    </a:graphicData>
                  </a:graphic>
                </wp:inline>
              </w:drawing>
            </w:r>
          </w:p>
        </w:tc>
        <w:tc>
          <w:tcPr>
            <w:tcW w:w="4678" w:type="dxa"/>
            <w:tcMar>
              <w:top w:w="0" w:type="dxa"/>
              <w:left w:w="108" w:type="dxa"/>
              <w:bottom w:w="0" w:type="dxa"/>
              <w:right w:w="108" w:type="dxa"/>
            </w:tcMar>
            <w:vAlign w:val="center"/>
            <w:hideMark/>
          </w:tcPr>
          <w:p w14:paraId="591CC563" w14:textId="21E41306" w:rsidR="00B85B5B" w:rsidRDefault="00B85B5B" w:rsidP="00B85B5B">
            <w:pPr>
              <w:jc w:val="center"/>
              <w:rPr>
                <w:rFonts w:ascii="Arial" w:hAnsi="Arial" w:cs="Arial"/>
              </w:rPr>
            </w:pPr>
            <w:r>
              <w:rPr>
                <w:noProof/>
              </w:rPr>
              <w:drawing>
                <wp:inline distT="0" distB="0" distL="0" distR="0" wp14:anchorId="39CB7A6B" wp14:editId="11CEDD92">
                  <wp:extent cx="2114550" cy="10572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2392" cy="1066196"/>
                          </a:xfrm>
                          <a:prstGeom prst="rect">
                            <a:avLst/>
                          </a:prstGeom>
                          <a:noFill/>
                          <a:ln>
                            <a:noFill/>
                          </a:ln>
                        </pic:spPr>
                      </pic:pic>
                    </a:graphicData>
                  </a:graphic>
                </wp:inline>
              </w:drawing>
            </w:r>
          </w:p>
        </w:tc>
      </w:tr>
    </w:tbl>
    <w:p w14:paraId="6E40B89C" w14:textId="121DB7C8" w:rsidR="00C653EF" w:rsidRDefault="00C653EF"/>
    <w:p w14:paraId="63498E3E" w14:textId="77777777" w:rsidR="00B85B5B" w:rsidRDefault="00B85B5B" w:rsidP="00B85B5B">
      <w:pPr>
        <w:jc w:val="right"/>
      </w:pPr>
    </w:p>
    <w:p w14:paraId="3401CF4F" w14:textId="774D944D" w:rsidR="00B85B5B" w:rsidRDefault="00B85B5B" w:rsidP="00B85B5B">
      <w:pPr>
        <w:jc w:val="right"/>
        <w:rPr>
          <w:rFonts w:ascii="Arial" w:hAnsi="Arial" w:cs="Arial"/>
        </w:rPr>
      </w:pPr>
      <w:r w:rsidRPr="00B85B5B">
        <w:rPr>
          <w:rFonts w:ascii="Arial" w:hAnsi="Arial" w:cs="Arial"/>
        </w:rPr>
        <w:t>Le 2</w:t>
      </w:r>
      <w:r w:rsidR="00BE45BE">
        <w:rPr>
          <w:rFonts w:ascii="Arial" w:hAnsi="Arial" w:cs="Arial"/>
        </w:rPr>
        <w:t>7</w:t>
      </w:r>
      <w:r w:rsidRPr="00B85B5B">
        <w:rPr>
          <w:rFonts w:ascii="Arial" w:hAnsi="Arial" w:cs="Arial"/>
        </w:rPr>
        <w:t xml:space="preserve"> octobre 2021</w:t>
      </w:r>
    </w:p>
    <w:p w14:paraId="393B9985" w14:textId="6D76E833" w:rsidR="00B85B5B" w:rsidRDefault="00B85B5B" w:rsidP="00B85B5B">
      <w:pPr>
        <w:rPr>
          <w:rFonts w:ascii="Arial" w:hAnsi="Arial" w:cs="Arial"/>
        </w:rPr>
      </w:pPr>
    </w:p>
    <w:p w14:paraId="740EB875" w14:textId="73C74AAD" w:rsidR="00BE45BE" w:rsidRDefault="00BE45BE" w:rsidP="00B85B5B">
      <w:pPr>
        <w:jc w:val="both"/>
        <w:rPr>
          <w:rFonts w:ascii="Arial" w:hAnsi="Arial" w:cs="Arial"/>
          <w:b/>
          <w:sz w:val="28"/>
        </w:rPr>
      </w:pPr>
    </w:p>
    <w:p w14:paraId="604A8F52" w14:textId="77777777" w:rsidR="00BE45BE" w:rsidRDefault="00BE45BE" w:rsidP="00BE45BE">
      <w:pPr>
        <w:jc w:val="both"/>
      </w:pPr>
      <w:r>
        <w:rPr>
          <w:rFonts w:ascii="Arial" w:hAnsi="Arial" w:cs="Arial"/>
          <w:b/>
          <w:bCs/>
          <w:sz w:val="28"/>
          <w:szCs w:val="28"/>
        </w:rPr>
        <w:t>La Région Normandie lauréate du Prix Distinction 2021</w:t>
      </w:r>
      <w:r>
        <w:rPr>
          <w:b/>
          <w:bCs/>
          <w:sz w:val="28"/>
          <w:szCs w:val="28"/>
        </w:rPr>
        <w:t xml:space="preserve"> </w:t>
      </w:r>
      <w:r>
        <w:rPr>
          <w:rFonts w:ascii="Arial" w:hAnsi="Arial" w:cs="Arial"/>
          <w:b/>
          <w:bCs/>
          <w:sz w:val="28"/>
          <w:szCs w:val="28"/>
        </w:rPr>
        <w:t>attribué par le label québécois « Entreprises en santé » !</w:t>
      </w:r>
    </w:p>
    <w:p w14:paraId="27692444" w14:textId="77777777" w:rsidR="00BE45BE" w:rsidRDefault="00BE45BE" w:rsidP="00BE45BE">
      <w:r>
        <w:rPr>
          <w:rFonts w:ascii="Arial" w:hAnsi="Arial" w:cs="Arial"/>
        </w:rPr>
        <w:t> </w:t>
      </w:r>
    </w:p>
    <w:p w14:paraId="07A118A0" w14:textId="4BCEE884" w:rsidR="00BE45BE" w:rsidRPr="00BE45BE" w:rsidRDefault="00BE45BE" w:rsidP="00BE45BE">
      <w:pPr>
        <w:jc w:val="both"/>
      </w:pPr>
      <w:r w:rsidRPr="00BE45BE">
        <w:rPr>
          <w:rFonts w:ascii="Arial" w:hAnsi="Arial" w:cs="Arial"/>
          <w:b/>
          <w:bCs/>
        </w:rPr>
        <w:t xml:space="preserve">La Région Normandie fait partie des 16 entreprises ou collectivités lauréates du prix international attribué par le label québécois « Entreprises en santé ». Récompensée dans la catégorie « Entreprises publiques Hors Québec », la Normandie est la seule collectivité et Région française à s’être distinguée dans le cadre du Prix Distinction 2021. </w:t>
      </w:r>
    </w:p>
    <w:p w14:paraId="4A3A7662" w14:textId="77777777" w:rsidR="00BE45BE" w:rsidRPr="00BE45BE" w:rsidRDefault="00BE45BE" w:rsidP="00BE45BE">
      <w:r w:rsidRPr="00BE45BE">
        <w:rPr>
          <w:rFonts w:ascii="Arial" w:hAnsi="Arial" w:cs="Arial"/>
        </w:rPr>
        <w:t> </w:t>
      </w:r>
    </w:p>
    <w:p w14:paraId="3FDC79A6" w14:textId="77777777" w:rsidR="00BE45BE" w:rsidRPr="00BE45BE" w:rsidRDefault="00BE45BE" w:rsidP="00BE45BE">
      <w:pPr>
        <w:shd w:val="clear" w:color="auto" w:fill="FFFFFF"/>
        <w:jc w:val="both"/>
      </w:pPr>
      <w:r w:rsidRPr="00BE45BE">
        <w:rPr>
          <w:rFonts w:ascii="Tahoma" w:hAnsi="Tahoma" w:cs="Tahoma"/>
          <w:color w:val="555555"/>
          <w:sz w:val="18"/>
          <w:szCs w:val="18"/>
          <w:lang w:eastAsia="fr-FR"/>
        </w:rPr>
        <w:t>​</w:t>
      </w:r>
      <w:r w:rsidRPr="00BE45BE">
        <w:rPr>
          <w:rFonts w:ascii="Arial" w:hAnsi="Arial" w:cs="Arial"/>
          <w:lang w:eastAsia="fr-FR"/>
        </w:rPr>
        <w:t>La Région Normandie est la première Région française à s’être engagée, en 2018, avec l’unanimité du CHSCT, dans une démarche certifiée de santé et de mieux-être, accompagnée par l'AFNOR,</w:t>
      </w:r>
      <w:r w:rsidRPr="00BE45BE">
        <w:t xml:space="preserve"> </w:t>
      </w:r>
      <w:r w:rsidRPr="00BE45BE">
        <w:rPr>
          <w:rFonts w:ascii="Arial" w:hAnsi="Arial" w:cs="Arial"/>
          <w:lang w:eastAsia="fr-FR"/>
        </w:rPr>
        <w:t>selon un référentiel qui a fait ses preuves au QUEBEC depuis plus de 15 ans.</w:t>
      </w:r>
    </w:p>
    <w:p w14:paraId="0833AC4D" w14:textId="77777777" w:rsidR="00BE45BE" w:rsidRPr="00BE45BE" w:rsidRDefault="00BE45BE" w:rsidP="00BE45BE">
      <w:pPr>
        <w:shd w:val="clear" w:color="auto" w:fill="FFFFFF"/>
        <w:jc w:val="both"/>
      </w:pPr>
      <w:r w:rsidRPr="00BE45BE">
        <w:rPr>
          <w:rFonts w:ascii="Arial" w:hAnsi="Arial" w:cs="Arial"/>
          <w:lang w:eastAsia="fr-FR"/>
        </w:rPr>
        <w:t> </w:t>
      </w:r>
    </w:p>
    <w:p w14:paraId="4165B507" w14:textId="77777777" w:rsidR="00BE45BE" w:rsidRPr="00BE45BE" w:rsidRDefault="00BE45BE" w:rsidP="00BE45BE">
      <w:pPr>
        <w:shd w:val="clear" w:color="auto" w:fill="FFFFFF"/>
        <w:spacing w:after="120"/>
        <w:jc w:val="both"/>
      </w:pPr>
      <w:r w:rsidRPr="00BE45BE">
        <w:rPr>
          <w:rFonts w:ascii="Arial" w:hAnsi="Arial" w:cs="Arial"/>
          <w:lang w:eastAsia="fr-FR"/>
        </w:rPr>
        <w:t xml:space="preserve">Le Plan « Région en santé » vise à améliorer la qualité de vie au travail des 5 200 agents de la collectivité. Composé d’une centaine d’actions, il s’articule autour des 4 axes suivants : </w:t>
      </w:r>
    </w:p>
    <w:p w14:paraId="75DEAA14" w14:textId="77777777" w:rsidR="00BE45BE" w:rsidRPr="00BE45BE" w:rsidRDefault="00BE45BE" w:rsidP="00BE45BE">
      <w:pPr>
        <w:pStyle w:val="Paragraphedeliste"/>
        <w:numPr>
          <w:ilvl w:val="0"/>
          <w:numId w:val="4"/>
        </w:numPr>
        <w:shd w:val="clear" w:color="auto" w:fill="FFFFFF"/>
        <w:jc w:val="both"/>
        <w:rPr>
          <w:rFonts w:eastAsia="Times New Roman"/>
        </w:rPr>
      </w:pPr>
      <w:r w:rsidRPr="00BE45BE">
        <w:rPr>
          <w:rFonts w:ascii="Arial" w:eastAsia="Times New Roman" w:hAnsi="Arial" w:cs="Arial"/>
          <w:lang w:eastAsia="fr-FR"/>
        </w:rPr>
        <w:t>Partager des pratiques de management contribuant au bien-être des agents</w:t>
      </w:r>
    </w:p>
    <w:p w14:paraId="7A2FA79D" w14:textId="77777777" w:rsidR="00BE45BE" w:rsidRPr="00BE45BE" w:rsidRDefault="00BE45BE" w:rsidP="00BE45BE">
      <w:pPr>
        <w:pStyle w:val="Paragraphedeliste"/>
        <w:numPr>
          <w:ilvl w:val="0"/>
          <w:numId w:val="4"/>
        </w:numPr>
        <w:shd w:val="clear" w:color="auto" w:fill="FFFFFF"/>
        <w:jc w:val="both"/>
        <w:rPr>
          <w:rFonts w:eastAsia="Times New Roman"/>
        </w:rPr>
      </w:pPr>
      <w:r w:rsidRPr="00BE45BE">
        <w:rPr>
          <w:rFonts w:ascii="Arial" w:eastAsia="Times New Roman" w:hAnsi="Arial" w:cs="Arial"/>
          <w:lang w:eastAsia="fr-FR"/>
        </w:rPr>
        <w:t>Prévenir les risques professionnels et améliorer l’environnement de travail</w:t>
      </w:r>
    </w:p>
    <w:p w14:paraId="113E3709" w14:textId="77777777" w:rsidR="00BE45BE" w:rsidRPr="00BE45BE" w:rsidRDefault="00BE45BE" w:rsidP="00BE45BE">
      <w:pPr>
        <w:pStyle w:val="Paragraphedeliste"/>
        <w:numPr>
          <w:ilvl w:val="0"/>
          <w:numId w:val="4"/>
        </w:numPr>
        <w:shd w:val="clear" w:color="auto" w:fill="FFFFFF"/>
        <w:jc w:val="both"/>
        <w:rPr>
          <w:rFonts w:eastAsia="Times New Roman"/>
        </w:rPr>
      </w:pPr>
      <w:r w:rsidRPr="00BE45BE">
        <w:rPr>
          <w:rFonts w:ascii="Arial" w:eastAsia="Times New Roman" w:hAnsi="Arial" w:cs="Arial"/>
          <w:lang w:eastAsia="fr-FR"/>
        </w:rPr>
        <w:t>Accompagner les agents vers les bonnes pratiques en matière de santé</w:t>
      </w:r>
    </w:p>
    <w:p w14:paraId="1AD217A2" w14:textId="77777777" w:rsidR="00BE45BE" w:rsidRPr="00BE45BE" w:rsidRDefault="00BE45BE" w:rsidP="00BE45BE">
      <w:pPr>
        <w:pStyle w:val="Paragraphedeliste"/>
        <w:numPr>
          <w:ilvl w:val="0"/>
          <w:numId w:val="4"/>
        </w:numPr>
        <w:shd w:val="clear" w:color="auto" w:fill="FFFFFF"/>
        <w:jc w:val="both"/>
        <w:rPr>
          <w:rFonts w:eastAsia="Times New Roman"/>
        </w:rPr>
      </w:pPr>
      <w:r w:rsidRPr="00BE45BE">
        <w:rPr>
          <w:rFonts w:ascii="Arial" w:eastAsia="Times New Roman" w:hAnsi="Arial" w:cs="Arial"/>
          <w:lang w:eastAsia="fr-FR"/>
        </w:rPr>
        <w:t>Equilibre de vie privée / vie professionnelle</w:t>
      </w:r>
    </w:p>
    <w:p w14:paraId="08E160A5" w14:textId="77777777" w:rsidR="00BE45BE" w:rsidRPr="00BE45BE" w:rsidRDefault="00BE45BE" w:rsidP="00BE45BE">
      <w:pPr>
        <w:shd w:val="clear" w:color="auto" w:fill="FFFFFF"/>
        <w:jc w:val="both"/>
      </w:pPr>
      <w:r w:rsidRPr="00BE45BE">
        <w:rPr>
          <w:rFonts w:ascii="Arial" w:hAnsi="Arial" w:cs="Arial"/>
          <w:lang w:eastAsia="fr-FR"/>
        </w:rPr>
        <w:t> </w:t>
      </w:r>
    </w:p>
    <w:p w14:paraId="494555A9" w14:textId="77777777" w:rsidR="00BE45BE" w:rsidRPr="00BE45BE" w:rsidRDefault="00BE45BE" w:rsidP="00BE45BE">
      <w:pPr>
        <w:shd w:val="clear" w:color="auto" w:fill="FFFFFF"/>
        <w:jc w:val="both"/>
      </w:pPr>
      <w:r w:rsidRPr="00BE45BE">
        <w:rPr>
          <w:rFonts w:ascii="Arial" w:hAnsi="Arial" w:cs="Arial"/>
          <w:lang w:eastAsia="fr-FR"/>
        </w:rPr>
        <w:t xml:space="preserve">Au cœur de la démarche : L’appropriation et la responsabilisation de chacun. La démarche intègre une méthodologie favorisant l’implication des agents. </w:t>
      </w:r>
    </w:p>
    <w:p w14:paraId="03F40552" w14:textId="77777777" w:rsidR="00BE45BE" w:rsidRPr="00BE45BE" w:rsidRDefault="00BE45BE" w:rsidP="00BE45BE">
      <w:pPr>
        <w:shd w:val="clear" w:color="auto" w:fill="FFFFFF"/>
        <w:jc w:val="both"/>
      </w:pPr>
      <w:r w:rsidRPr="00BE45BE">
        <w:rPr>
          <w:rFonts w:ascii="Arial" w:hAnsi="Arial" w:cs="Arial"/>
          <w:lang w:eastAsia="fr-FR"/>
        </w:rPr>
        <w:t> </w:t>
      </w:r>
    </w:p>
    <w:p w14:paraId="437CD4DC" w14:textId="77777777" w:rsidR="00BE45BE" w:rsidRPr="00BE45BE" w:rsidRDefault="00BE45BE" w:rsidP="00BE45BE">
      <w:pPr>
        <w:shd w:val="clear" w:color="auto" w:fill="FFFFFF"/>
        <w:jc w:val="both"/>
      </w:pPr>
      <w:r w:rsidRPr="00BE45BE">
        <w:rPr>
          <w:rFonts w:ascii="Arial" w:hAnsi="Arial" w:cs="Arial"/>
          <w:lang w:eastAsia="fr-FR"/>
        </w:rPr>
        <w:t xml:space="preserve">Deux fois par an, un comité de pilotage composé d’élus, de la direction générale et des porteurs du projet se réunit pour valider les orientations et définir le pilotage global de la démarche. </w:t>
      </w:r>
    </w:p>
    <w:p w14:paraId="26FECCFF" w14:textId="77777777" w:rsidR="00BE45BE" w:rsidRPr="00BE45BE" w:rsidRDefault="00BE45BE" w:rsidP="00BE45BE">
      <w:pPr>
        <w:shd w:val="clear" w:color="auto" w:fill="FFFFFF"/>
        <w:jc w:val="both"/>
      </w:pPr>
      <w:r w:rsidRPr="00BE45BE">
        <w:rPr>
          <w:rFonts w:ascii="Arial" w:hAnsi="Arial" w:cs="Arial"/>
          <w:lang w:eastAsia="fr-FR"/>
        </w:rPr>
        <w:t> </w:t>
      </w:r>
    </w:p>
    <w:p w14:paraId="180B1AA5" w14:textId="77777777" w:rsidR="00BE45BE" w:rsidRDefault="00BE45BE" w:rsidP="00BE45BE">
      <w:pPr>
        <w:shd w:val="clear" w:color="auto" w:fill="FFFFFF"/>
        <w:jc w:val="both"/>
      </w:pPr>
      <w:r w:rsidRPr="00BE45BE">
        <w:rPr>
          <w:rFonts w:ascii="Arial" w:hAnsi="Arial" w:cs="Arial"/>
          <w:lang w:eastAsia="fr-FR"/>
        </w:rPr>
        <w:t>Chaque trimestre, un comité technique, composé d’agents volontaires de différentes directions, de représentants des agents des lycées, de représentants syndicaux, se réunit pour définir les actions à réaliser par l’équipe projet et les pilotes d’action.</w:t>
      </w:r>
      <w:r>
        <w:rPr>
          <w:rFonts w:ascii="Arial" w:hAnsi="Arial" w:cs="Arial"/>
          <w:lang w:eastAsia="fr-FR"/>
        </w:rPr>
        <w:t xml:space="preserve"> </w:t>
      </w:r>
    </w:p>
    <w:p w14:paraId="58BFD9CC" w14:textId="21B929BA" w:rsidR="00BE45BE" w:rsidRDefault="00BE45BE" w:rsidP="00BE45BE">
      <w:pPr>
        <w:shd w:val="clear" w:color="auto" w:fill="FFFFFF"/>
        <w:jc w:val="both"/>
      </w:pPr>
      <w:r>
        <w:rPr>
          <w:lang w:eastAsia="fr-FR"/>
        </w:rPr>
        <w:t> </w:t>
      </w:r>
    </w:p>
    <w:p w14:paraId="53135A5A" w14:textId="77777777" w:rsidR="00BE45BE" w:rsidRDefault="00BE45BE" w:rsidP="00BE45BE">
      <w:pPr>
        <w:jc w:val="both"/>
      </w:pPr>
      <w:r>
        <w:rPr>
          <w:rFonts w:ascii="Arial" w:hAnsi="Arial" w:cs="Arial"/>
        </w:rPr>
        <w:t>Pour en savoir plus sur le Prix Distinction 2021 :</w:t>
      </w:r>
    </w:p>
    <w:p w14:paraId="287E071D" w14:textId="77777777" w:rsidR="00BE45BE" w:rsidRDefault="00BE45BE" w:rsidP="00BE45BE">
      <w:hyperlink r:id="rId10" w:history="1">
        <w:r>
          <w:rPr>
            <w:rStyle w:val="Lienhypertexte"/>
            <w:rFonts w:ascii="Arial" w:hAnsi="Arial" w:cs="Arial"/>
          </w:rPr>
          <w:t>https://www.groupeentreprisesensante.com/fr/nouvelles/prix-distinction-2021-voici-les-laureats</w:t>
        </w:r>
      </w:hyperlink>
    </w:p>
    <w:p w14:paraId="0D5E4DEE" w14:textId="1AE7DB25" w:rsidR="0052660D" w:rsidRPr="00BE45BE" w:rsidRDefault="00BE45BE" w:rsidP="00B85B5B">
      <w:pPr>
        <w:jc w:val="both"/>
      </w:pPr>
      <w:r>
        <w:rPr>
          <w:rFonts w:ascii="Arial" w:hAnsi="Arial" w:cs="Arial"/>
          <w:sz w:val="28"/>
          <w:szCs w:val="28"/>
        </w:rPr>
        <w:t> </w:t>
      </w:r>
    </w:p>
    <w:p w14:paraId="41A85592" w14:textId="77777777" w:rsidR="0052660D" w:rsidRDefault="0052660D" w:rsidP="0052660D">
      <w:pPr>
        <w:jc w:val="both"/>
        <w:rPr>
          <w:rFonts w:ascii="Arial" w:hAnsi="Arial" w:cs="Arial"/>
          <w:lang w:eastAsia="fr-FR"/>
        </w:rPr>
      </w:pPr>
      <w:r>
        <w:rPr>
          <w:rFonts w:ascii="Arial" w:hAnsi="Arial" w:cs="Arial"/>
          <w:lang w:eastAsia="fr-FR"/>
        </w:rPr>
        <w:t>Contact presse :</w:t>
      </w:r>
    </w:p>
    <w:p w14:paraId="27C8CEB1" w14:textId="77777777" w:rsidR="0052660D" w:rsidRDefault="0052660D" w:rsidP="0052660D">
      <w:pPr>
        <w:rPr>
          <w:rFonts w:ascii="Arial" w:hAnsi="Arial" w:cs="Arial"/>
          <w:lang w:eastAsia="fr-FR"/>
        </w:rPr>
      </w:pPr>
      <w:r>
        <w:rPr>
          <w:rFonts w:ascii="Arial" w:hAnsi="Arial" w:cs="Arial"/>
          <w:lang w:eastAsia="fr-FR"/>
        </w:rPr>
        <w:t xml:space="preserve">Charlotte Chanteloup - 06 42 08 11 68 – </w:t>
      </w:r>
      <w:hyperlink r:id="rId11" w:history="1">
        <w:r>
          <w:rPr>
            <w:rStyle w:val="Lienhypertexte"/>
            <w:rFonts w:ascii="Arial" w:hAnsi="Arial" w:cs="Arial"/>
            <w:lang w:eastAsia="fr-FR"/>
          </w:rPr>
          <w:t>charlotte.chanteloup@normandie.fr</w:t>
        </w:r>
      </w:hyperlink>
      <w:bookmarkEnd w:id="0"/>
      <w:bookmarkEnd w:id="1"/>
    </w:p>
    <w:sectPr w:rsidR="00526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1179B"/>
    <w:multiLevelType w:val="hybridMultilevel"/>
    <w:tmpl w:val="A4AA7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497A47"/>
    <w:multiLevelType w:val="hybridMultilevel"/>
    <w:tmpl w:val="6C22C0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B10549"/>
    <w:multiLevelType w:val="hybridMultilevel"/>
    <w:tmpl w:val="8B467EDE"/>
    <w:lvl w:ilvl="0" w:tplc="06A43C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4"/>
    <w:rsid w:val="003021DD"/>
    <w:rsid w:val="0052660D"/>
    <w:rsid w:val="00946DE0"/>
    <w:rsid w:val="00B85B5B"/>
    <w:rsid w:val="00BE45BE"/>
    <w:rsid w:val="00C653EF"/>
    <w:rsid w:val="00EC63B6"/>
    <w:rsid w:val="00F67D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1D5F"/>
  <w15:chartTrackingRefBased/>
  <w15:docId w15:val="{C021AB44-9858-4A7E-85B7-91349030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B5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21DD"/>
    <w:rPr>
      <w:color w:val="0563C1" w:themeColor="hyperlink"/>
      <w:u w:val="single"/>
    </w:rPr>
  </w:style>
  <w:style w:type="character" w:styleId="Mentionnonrsolue">
    <w:name w:val="Unresolved Mention"/>
    <w:basedOn w:val="Policepardfaut"/>
    <w:uiPriority w:val="99"/>
    <w:semiHidden/>
    <w:unhideWhenUsed/>
    <w:rsid w:val="003021DD"/>
    <w:rPr>
      <w:color w:val="605E5C"/>
      <w:shd w:val="clear" w:color="auto" w:fill="E1DFDD"/>
    </w:rPr>
  </w:style>
  <w:style w:type="paragraph" w:styleId="Paragraphedeliste">
    <w:name w:val="List Paragraph"/>
    <w:basedOn w:val="Normal"/>
    <w:uiPriority w:val="34"/>
    <w:qFormat/>
    <w:rsid w:val="0052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54116">
      <w:bodyDiv w:val="1"/>
      <w:marLeft w:val="0"/>
      <w:marRight w:val="0"/>
      <w:marTop w:val="0"/>
      <w:marBottom w:val="0"/>
      <w:divBdr>
        <w:top w:val="none" w:sz="0" w:space="0" w:color="auto"/>
        <w:left w:val="none" w:sz="0" w:space="0" w:color="auto"/>
        <w:bottom w:val="none" w:sz="0" w:space="0" w:color="auto"/>
        <w:right w:val="none" w:sz="0" w:space="0" w:color="auto"/>
      </w:divBdr>
    </w:div>
    <w:div w:id="1515025562">
      <w:bodyDiv w:val="1"/>
      <w:marLeft w:val="0"/>
      <w:marRight w:val="0"/>
      <w:marTop w:val="0"/>
      <w:marBottom w:val="0"/>
      <w:divBdr>
        <w:top w:val="none" w:sz="0" w:space="0" w:color="auto"/>
        <w:left w:val="none" w:sz="0" w:space="0" w:color="auto"/>
        <w:bottom w:val="none" w:sz="0" w:space="0" w:color="auto"/>
        <w:right w:val="none" w:sz="0" w:space="0" w:color="auto"/>
      </w:divBdr>
    </w:div>
    <w:div w:id="1546407396">
      <w:bodyDiv w:val="1"/>
      <w:marLeft w:val="0"/>
      <w:marRight w:val="0"/>
      <w:marTop w:val="0"/>
      <w:marBottom w:val="0"/>
      <w:divBdr>
        <w:top w:val="none" w:sz="0" w:space="0" w:color="auto"/>
        <w:left w:val="none" w:sz="0" w:space="0" w:color="auto"/>
        <w:bottom w:val="none" w:sz="0" w:space="0" w:color="auto"/>
        <w:right w:val="none" w:sz="0" w:space="0" w:color="auto"/>
      </w:divBdr>
      <w:divsChild>
        <w:div w:id="125004816">
          <w:marLeft w:val="0"/>
          <w:marRight w:val="0"/>
          <w:marTop w:val="0"/>
          <w:marBottom w:val="0"/>
          <w:divBdr>
            <w:top w:val="none" w:sz="0" w:space="0" w:color="auto"/>
            <w:left w:val="none" w:sz="0" w:space="0" w:color="auto"/>
            <w:bottom w:val="none" w:sz="0" w:space="0" w:color="auto"/>
            <w:right w:val="none" w:sz="0" w:space="0" w:color="auto"/>
          </w:divBdr>
          <w:divsChild>
            <w:div w:id="1314872914">
              <w:marLeft w:val="0"/>
              <w:marRight w:val="0"/>
              <w:marTop w:val="0"/>
              <w:marBottom w:val="0"/>
              <w:divBdr>
                <w:top w:val="none" w:sz="0" w:space="0" w:color="auto"/>
                <w:left w:val="none" w:sz="0" w:space="0" w:color="auto"/>
                <w:bottom w:val="none" w:sz="0" w:space="0" w:color="auto"/>
                <w:right w:val="none" w:sz="0" w:space="0" w:color="auto"/>
              </w:divBdr>
              <w:divsChild>
                <w:div w:id="951131537">
                  <w:marLeft w:val="0"/>
                  <w:marRight w:val="0"/>
                  <w:marTop w:val="0"/>
                  <w:marBottom w:val="0"/>
                  <w:divBdr>
                    <w:top w:val="none" w:sz="0" w:space="0" w:color="auto"/>
                    <w:left w:val="none" w:sz="0" w:space="0" w:color="auto"/>
                    <w:bottom w:val="none" w:sz="0" w:space="0" w:color="auto"/>
                    <w:right w:val="none" w:sz="0" w:space="0" w:color="auto"/>
                  </w:divBdr>
                  <w:divsChild>
                    <w:div w:id="1810515451">
                      <w:marLeft w:val="0"/>
                      <w:marRight w:val="0"/>
                      <w:marTop w:val="0"/>
                      <w:marBottom w:val="240"/>
                      <w:divBdr>
                        <w:top w:val="none" w:sz="0" w:space="0" w:color="auto"/>
                        <w:left w:val="none" w:sz="0" w:space="0" w:color="auto"/>
                        <w:bottom w:val="none" w:sz="0" w:space="0" w:color="auto"/>
                        <w:right w:val="none" w:sz="0" w:space="0" w:color="auto"/>
                      </w:divBdr>
                      <w:divsChild>
                        <w:div w:id="1610315847">
                          <w:marLeft w:val="0"/>
                          <w:marRight w:val="0"/>
                          <w:marTop w:val="0"/>
                          <w:marBottom w:val="0"/>
                          <w:divBdr>
                            <w:top w:val="none" w:sz="0" w:space="0" w:color="auto"/>
                            <w:left w:val="none" w:sz="0" w:space="0" w:color="auto"/>
                            <w:bottom w:val="none" w:sz="0" w:space="0" w:color="auto"/>
                            <w:right w:val="none" w:sz="0" w:space="0" w:color="auto"/>
                          </w:divBdr>
                          <w:divsChild>
                            <w:div w:id="975141185">
                              <w:marLeft w:val="4050"/>
                              <w:marRight w:val="0"/>
                              <w:marTop w:val="0"/>
                              <w:marBottom w:val="0"/>
                              <w:divBdr>
                                <w:top w:val="none" w:sz="0" w:space="0" w:color="auto"/>
                                <w:left w:val="none" w:sz="0" w:space="0" w:color="auto"/>
                                <w:bottom w:val="none" w:sz="0" w:space="0" w:color="auto"/>
                                <w:right w:val="none" w:sz="0" w:space="0" w:color="auto"/>
                              </w:divBdr>
                              <w:divsChild>
                                <w:div w:id="2128505822">
                                  <w:marLeft w:val="0"/>
                                  <w:marRight w:val="0"/>
                                  <w:marTop w:val="0"/>
                                  <w:marBottom w:val="0"/>
                                  <w:divBdr>
                                    <w:top w:val="none" w:sz="0" w:space="0" w:color="auto"/>
                                    <w:left w:val="none" w:sz="0" w:space="0" w:color="auto"/>
                                    <w:bottom w:val="none" w:sz="0" w:space="0" w:color="auto"/>
                                    <w:right w:val="none" w:sz="0" w:space="0" w:color="auto"/>
                                  </w:divBdr>
                                  <w:divsChild>
                                    <w:div w:id="1108356219">
                                      <w:marLeft w:val="0"/>
                                      <w:marRight w:val="0"/>
                                      <w:marTop w:val="0"/>
                                      <w:marBottom w:val="0"/>
                                      <w:divBdr>
                                        <w:top w:val="none" w:sz="0" w:space="0" w:color="auto"/>
                                        <w:left w:val="none" w:sz="0" w:space="0" w:color="auto"/>
                                        <w:bottom w:val="none" w:sz="0" w:space="0" w:color="auto"/>
                                        <w:right w:val="none" w:sz="0" w:space="0" w:color="auto"/>
                                      </w:divBdr>
                                      <w:divsChild>
                                        <w:div w:id="1335109233">
                                          <w:marLeft w:val="0"/>
                                          <w:marRight w:val="0"/>
                                          <w:marTop w:val="0"/>
                                          <w:marBottom w:val="0"/>
                                          <w:divBdr>
                                            <w:top w:val="none" w:sz="0" w:space="0" w:color="auto"/>
                                            <w:left w:val="none" w:sz="0" w:space="0" w:color="auto"/>
                                            <w:bottom w:val="none" w:sz="0" w:space="0" w:color="auto"/>
                                            <w:right w:val="none" w:sz="0" w:space="0" w:color="auto"/>
                                          </w:divBdr>
                                          <w:divsChild>
                                            <w:div w:id="1324428523">
                                              <w:marLeft w:val="0"/>
                                              <w:marRight w:val="0"/>
                                              <w:marTop w:val="0"/>
                                              <w:marBottom w:val="0"/>
                                              <w:divBdr>
                                                <w:top w:val="none" w:sz="0" w:space="0" w:color="auto"/>
                                                <w:left w:val="none" w:sz="0" w:space="0" w:color="auto"/>
                                                <w:bottom w:val="none" w:sz="0" w:space="0" w:color="auto"/>
                                                <w:right w:val="none" w:sz="0" w:space="0" w:color="auto"/>
                                              </w:divBdr>
                                              <w:divsChild>
                                                <w:div w:id="1174421614">
                                                  <w:marLeft w:val="0"/>
                                                  <w:marRight w:val="0"/>
                                                  <w:marTop w:val="150"/>
                                                  <w:marBottom w:val="150"/>
                                                  <w:divBdr>
                                                    <w:top w:val="none" w:sz="0" w:space="0" w:color="auto"/>
                                                    <w:left w:val="none" w:sz="0" w:space="0" w:color="auto"/>
                                                    <w:bottom w:val="none" w:sz="0" w:space="0" w:color="auto"/>
                                                    <w:right w:val="none" w:sz="0" w:space="0" w:color="auto"/>
                                                  </w:divBdr>
                                                  <w:divsChild>
                                                    <w:div w:id="1947958369">
                                                      <w:marLeft w:val="0"/>
                                                      <w:marRight w:val="0"/>
                                                      <w:marTop w:val="0"/>
                                                      <w:marBottom w:val="0"/>
                                                      <w:divBdr>
                                                        <w:top w:val="none" w:sz="0" w:space="0" w:color="auto"/>
                                                        <w:left w:val="none" w:sz="0" w:space="0" w:color="auto"/>
                                                        <w:bottom w:val="none" w:sz="0" w:space="0" w:color="auto"/>
                                                        <w:right w:val="none" w:sz="0" w:space="0" w:color="auto"/>
                                                      </w:divBdr>
                                                      <w:divsChild>
                                                        <w:div w:id="679812905">
                                                          <w:marLeft w:val="0"/>
                                                          <w:marRight w:val="0"/>
                                                          <w:marTop w:val="0"/>
                                                          <w:marBottom w:val="0"/>
                                                          <w:divBdr>
                                                            <w:top w:val="none" w:sz="0" w:space="0" w:color="auto"/>
                                                            <w:left w:val="none" w:sz="0" w:space="0" w:color="auto"/>
                                                            <w:bottom w:val="none" w:sz="0" w:space="0" w:color="auto"/>
                                                            <w:right w:val="none" w:sz="0" w:space="0" w:color="auto"/>
                                                          </w:divBdr>
                                                          <w:divsChild>
                                                            <w:div w:id="387461361">
                                                              <w:marLeft w:val="0"/>
                                                              <w:marRight w:val="0"/>
                                                              <w:marTop w:val="0"/>
                                                              <w:marBottom w:val="0"/>
                                                              <w:divBdr>
                                                                <w:top w:val="none" w:sz="0" w:space="0" w:color="auto"/>
                                                                <w:left w:val="none" w:sz="0" w:space="0" w:color="auto"/>
                                                                <w:bottom w:val="none" w:sz="0" w:space="0" w:color="auto"/>
                                                                <w:right w:val="none" w:sz="0" w:space="0" w:color="auto"/>
                                                              </w:divBdr>
                                                              <w:divsChild>
                                                                <w:div w:id="527253099">
                                                                  <w:marLeft w:val="0"/>
                                                                  <w:marRight w:val="0"/>
                                                                  <w:marTop w:val="0"/>
                                                                  <w:marBottom w:val="0"/>
                                                                  <w:divBdr>
                                                                    <w:top w:val="none" w:sz="0" w:space="0" w:color="auto"/>
                                                                    <w:left w:val="none" w:sz="0" w:space="0" w:color="auto"/>
                                                                    <w:bottom w:val="none" w:sz="0" w:space="0" w:color="auto"/>
                                                                    <w:right w:val="none" w:sz="0" w:space="0" w:color="auto"/>
                                                                  </w:divBdr>
                                                                  <w:divsChild>
                                                                    <w:div w:id="848060377">
                                                                      <w:marLeft w:val="0"/>
                                                                      <w:marRight w:val="0"/>
                                                                      <w:marTop w:val="0"/>
                                                                      <w:marBottom w:val="0"/>
                                                                      <w:divBdr>
                                                                        <w:top w:val="none" w:sz="0" w:space="0" w:color="auto"/>
                                                                        <w:left w:val="none" w:sz="0" w:space="0" w:color="auto"/>
                                                                        <w:bottom w:val="none" w:sz="0" w:space="0" w:color="auto"/>
                                                                        <w:right w:val="none" w:sz="0" w:space="0" w:color="auto"/>
                                                                      </w:divBdr>
                                                                      <w:divsChild>
                                                                        <w:div w:id="121919969">
                                                                          <w:marLeft w:val="0"/>
                                                                          <w:marRight w:val="0"/>
                                                                          <w:marTop w:val="0"/>
                                                                          <w:marBottom w:val="0"/>
                                                                          <w:divBdr>
                                                                            <w:top w:val="dotted" w:sz="6" w:space="8" w:color="FFDC00"/>
                                                                            <w:left w:val="dotted" w:sz="6" w:space="8" w:color="FFDC00"/>
                                                                            <w:bottom w:val="dotted" w:sz="6" w:space="8" w:color="FFDC00"/>
                                                                            <w:right w:val="dotted" w:sz="6" w:space="8" w:color="FFDC0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5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7B6AA.D68AB8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600.FC6D0F60" TargetMode="External"/><Relationship Id="rId11" Type="http://schemas.openxmlformats.org/officeDocument/2006/relationships/hyperlink" Target="mailto:charlotte.chanteloup@normandie.fr" TargetMode="External"/><Relationship Id="rId5" Type="http://schemas.openxmlformats.org/officeDocument/2006/relationships/image" Target="media/image1.png"/><Relationship Id="rId10" Type="http://schemas.openxmlformats.org/officeDocument/2006/relationships/hyperlink" Target="https://www.groupeentreprisesensante.com/fr/nouvelles/prix-distinction-2021-voici-les-laureats"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343</Words>
  <Characters>1888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2021-10-26T13:58:00Z</dcterms:created>
  <dcterms:modified xsi:type="dcterms:W3CDTF">2021-10-27T08:08:00Z</dcterms:modified>
</cp:coreProperties>
</file>