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D98" w:rsidRDefault="00B13CD7" w:rsidP="00A67E18">
      <w:pPr>
        <w:jc w:val="center"/>
        <w:rPr>
          <w:b/>
        </w:rPr>
      </w:pPr>
      <w:r>
        <w:rPr>
          <w:rFonts w:ascii="Arial" w:hAnsi="Arial" w:cs="Arial"/>
          <w:noProof/>
          <w:lang w:eastAsia="fr-FR"/>
        </w:rPr>
        <w:drawing>
          <wp:inline distT="0" distB="0" distL="0" distR="0" wp14:anchorId="75BFB25C" wp14:editId="562A6FA7">
            <wp:extent cx="5760720" cy="54293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54293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
        <w:gridCol w:w="949"/>
        <w:gridCol w:w="1517"/>
        <w:gridCol w:w="1272"/>
        <w:gridCol w:w="1742"/>
        <w:gridCol w:w="1038"/>
        <w:gridCol w:w="1429"/>
      </w:tblGrid>
      <w:tr w:rsidR="002E2DB1" w:rsidTr="002E2DB1">
        <w:tc>
          <w:tcPr>
            <w:tcW w:w="947" w:type="dxa"/>
          </w:tcPr>
          <w:p w:rsidR="00AE6708" w:rsidRDefault="00AE6708" w:rsidP="00A67E18">
            <w:pPr>
              <w:jc w:val="center"/>
              <w:rPr>
                <w:b/>
              </w:rPr>
            </w:pPr>
            <w:r w:rsidRPr="008E67FB">
              <w:rPr>
                <w:rFonts w:ascii="Calibri Light" w:hAnsi="Calibri Light" w:cs="Calibri Light"/>
                <w:b/>
                <w:bCs/>
                <w:noProof/>
                <w:lang w:eastAsia="fr-FR"/>
              </w:rPr>
              <w:drawing>
                <wp:inline distT="0" distB="0" distL="0" distR="0" wp14:anchorId="57CD9D16" wp14:editId="0610461A">
                  <wp:extent cx="590550" cy="559054"/>
                  <wp:effectExtent l="0" t="0" r="0" b="0"/>
                  <wp:docPr id="4" name="Image 4"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8654" cy="585659"/>
                          </a:xfrm>
                          <a:prstGeom prst="rect">
                            <a:avLst/>
                          </a:prstGeom>
                          <a:noFill/>
                          <a:ln>
                            <a:noFill/>
                          </a:ln>
                        </pic:spPr>
                      </pic:pic>
                    </a:graphicData>
                  </a:graphic>
                </wp:inline>
              </w:drawing>
            </w:r>
          </w:p>
          <w:p w:rsidR="00AE6708" w:rsidRDefault="00AE6708" w:rsidP="00B13CD7">
            <w:pPr>
              <w:rPr>
                <w:b/>
              </w:rPr>
            </w:pPr>
          </w:p>
        </w:tc>
        <w:tc>
          <w:tcPr>
            <w:tcW w:w="1018" w:type="dxa"/>
          </w:tcPr>
          <w:p w:rsidR="00AE6708" w:rsidRDefault="00AE6708" w:rsidP="00A67E18">
            <w:pPr>
              <w:jc w:val="center"/>
              <w:rPr>
                <w:b/>
              </w:rPr>
            </w:pPr>
            <w:r w:rsidRPr="00AE6708">
              <w:rPr>
                <w:noProof/>
              </w:rPr>
              <w:drawing>
                <wp:inline distT="0" distB="0" distL="0" distR="0" wp14:anchorId="395DFADC" wp14:editId="656D923A">
                  <wp:extent cx="475849" cy="46164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807" cy="465485"/>
                          </a:xfrm>
                          <a:prstGeom prst="rect">
                            <a:avLst/>
                          </a:prstGeom>
                          <a:noFill/>
                          <a:ln>
                            <a:noFill/>
                          </a:ln>
                        </pic:spPr>
                      </pic:pic>
                    </a:graphicData>
                  </a:graphic>
                </wp:inline>
              </w:drawing>
            </w:r>
          </w:p>
        </w:tc>
        <w:tc>
          <w:tcPr>
            <w:tcW w:w="1262" w:type="dxa"/>
          </w:tcPr>
          <w:p w:rsidR="00AE6708" w:rsidRDefault="00AE6708" w:rsidP="00A67E18">
            <w:pPr>
              <w:jc w:val="center"/>
              <w:rPr>
                <w:b/>
              </w:rPr>
            </w:pPr>
            <w:r>
              <w:rPr>
                <w:noProof/>
                <w:color w:val="1F3864"/>
              </w:rPr>
              <w:drawing>
                <wp:inline distT="0" distB="0" distL="0" distR="0" wp14:anchorId="378F9FC6" wp14:editId="1BF14D91">
                  <wp:extent cx="844550" cy="385971"/>
                  <wp:effectExtent l="0" t="0" r="0" b="0"/>
                  <wp:docPr id="1" name="Image 1" descr="UPR avec sous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4" descr="UPR avec soustitre.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62228" cy="394050"/>
                          </a:xfrm>
                          <a:prstGeom prst="rect">
                            <a:avLst/>
                          </a:prstGeom>
                          <a:noFill/>
                          <a:ln>
                            <a:noFill/>
                          </a:ln>
                        </pic:spPr>
                      </pic:pic>
                    </a:graphicData>
                  </a:graphic>
                </wp:inline>
              </w:drawing>
            </w:r>
          </w:p>
        </w:tc>
        <w:tc>
          <w:tcPr>
            <w:tcW w:w="1537" w:type="dxa"/>
          </w:tcPr>
          <w:p w:rsidR="00AE6708" w:rsidRDefault="002E2DB1" w:rsidP="00A67E18">
            <w:pPr>
              <w:jc w:val="center"/>
              <w:rPr>
                <w:b/>
              </w:rPr>
            </w:pPr>
            <w:r>
              <w:rPr>
                <w:noProof/>
              </w:rPr>
              <w:drawing>
                <wp:inline distT="0" distB="0" distL="0" distR="0">
                  <wp:extent cx="680797" cy="276225"/>
                  <wp:effectExtent l="0" t="0" r="508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952" cy="278316"/>
                          </a:xfrm>
                          <a:prstGeom prst="rect">
                            <a:avLst/>
                          </a:prstGeom>
                          <a:noFill/>
                          <a:ln>
                            <a:noFill/>
                          </a:ln>
                        </pic:spPr>
                      </pic:pic>
                    </a:graphicData>
                  </a:graphic>
                </wp:inline>
              </w:drawing>
            </w:r>
          </w:p>
        </w:tc>
        <w:tc>
          <w:tcPr>
            <w:tcW w:w="1726" w:type="dxa"/>
          </w:tcPr>
          <w:p w:rsidR="00AE6708" w:rsidRDefault="00AE6708" w:rsidP="00A67E18">
            <w:pPr>
              <w:jc w:val="center"/>
            </w:pPr>
            <w:r w:rsidRPr="00AE6708">
              <w:rPr>
                <w:noProof/>
              </w:rPr>
              <w:drawing>
                <wp:inline distT="0" distB="0" distL="0" distR="0" wp14:anchorId="6C309C6C" wp14:editId="1FEDD226">
                  <wp:extent cx="984619" cy="333375"/>
                  <wp:effectExtent l="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1366" cy="335659"/>
                          </a:xfrm>
                          <a:prstGeom prst="rect">
                            <a:avLst/>
                          </a:prstGeom>
                          <a:noFill/>
                          <a:ln>
                            <a:noFill/>
                          </a:ln>
                        </pic:spPr>
                      </pic:pic>
                    </a:graphicData>
                  </a:graphic>
                </wp:inline>
              </w:drawing>
            </w:r>
          </w:p>
        </w:tc>
        <w:tc>
          <w:tcPr>
            <w:tcW w:w="1160" w:type="dxa"/>
          </w:tcPr>
          <w:p w:rsidR="00AE6708" w:rsidRDefault="00AE6708" w:rsidP="00A67E18">
            <w:pPr>
              <w:jc w:val="center"/>
              <w:rPr>
                <w:b/>
              </w:rPr>
            </w:pPr>
            <w:r w:rsidRPr="00AE6708">
              <w:rPr>
                <w:noProof/>
              </w:rPr>
              <w:drawing>
                <wp:inline distT="0" distB="0" distL="0" distR="0" wp14:anchorId="01A3B97A" wp14:editId="010F1D3E">
                  <wp:extent cx="525539" cy="558800"/>
                  <wp:effectExtent l="0" t="0" r="825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652" cy="575933"/>
                          </a:xfrm>
                          <a:prstGeom prst="rect">
                            <a:avLst/>
                          </a:prstGeom>
                          <a:noFill/>
                          <a:ln>
                            <a:noFill/>
                          </a:ln>
                        </pic:spPr>
                      </pic:pic>
                    </a:graphicData>
                  </a:graphic>
                </wp:inline>
              </w:drawing>
            </w:r>
          </w:p>
        </w:tc>
        <w:tc>
          <w:tcPr>
            <w:tcW w:w="1191" w:type="dxa"/>
          </w:tcPr>
          <w:p w:rsidR="00AE6708" w:rsidRDefault="00AE6708" w:rsidP="00A67E18">
            <w:pPr>
              <w:jc w:val="center"/>
              <w:rPr>
                <w:b/>
              </w:rPr>
            </w:pPr>
            <w:r>
              <w:rPr>
                <w:noProof/>
                <w:color w:val="1F3864"/>
              </w:rPr>
              <w:drawing>
                <wp:inline distT="0" distB="0" distL="0" distR="0" wp14:anchorId="3BE19589" wp14:editId="58328F15">
                  <wp:extent cx="787400" cy="393700"/>
                  <wp:effectExtent l="0" t="0" r="0" b="6350"/>
                  <wp:docPr id="3" name="Image 3" descr="Une image contenant mètre, signe, arrê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6" descr="Une image contenant mètre, signe, arrêt, horloge&#10;&#10;Description générée automatiquem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87400" cy="393700"/>
                          </a:xfrm>
                          <a:prstGeom prst="rect">
                            <a:avLst/>
                          </a:prstGeom>
                          <a:noFill/>
                          <a:ln>
                            <a:noFill/>
                          </a:ln>
                        </pic:spPr>
                      </pic:pic>
                    </a:graphicData>
                  </a:graphic>
                </wp:inline>
              </w:drawing>
            </w:r>
          </w:p>
        </w:tc>
      </w:tr>
    </w:tbl>
    <w:p w:rsidR="002E2DB1" w:rsidRPr="000F68F3" w:rsidRDefault="000F68F3" w:rsidP="000F68F3">
      <w:pPr>
        <w:jc w:val="right"/>
        <w:rPr>
          <w:rFonts w:ascii="Arial" w:hAnsi="Arial" w:cs="Arial"/>
        </w:rPr>
      </w:pPr>
      <w:r w:rsidRPr="000F68F3">
        <w:rPr>
          <w:rFonts w:ascii="Arial" w:hAnsi="Arial" w:cs="Arial"/>
        </w:rPr>
        <w:t xml:space="preserve">Le </w:t>
      </w:r>
      <w:r w:rsidR="00E97FE2">
        <w:rPr>
          <w:rFonts w:ascii="Arial" w:hAnsi="Arial" w:cs="Arial"/>
        </w:rPr>
        <w:t>14 octobre 2021</w:t>
      </w:r>
    </w:p>
    <w:p w:rsidR="00D27F11" w:rsidRPr="00D27F11" w:rsidRDefault="00D27F11" w:rsidP="00D27F11">
      <w:pPr>
        <w:spacing w:after="0" w:line="240" w:lineRule="auto"/>
        <w:jc w:val="both"/>
        <w:rPr>
          <w:rFonts w:ascii="Arial" w:hAnsi="Arial" w:cs="Arial"/>
          <w:b/>
          <w:bCs/>
          <w:sz w:val="28"/>
          <w:szCs w:val="28"/>
        </w:rPr>
      </w:pPr>
      <w:r w:rsidRPr="00D27F11">
        <w:rPr>
          <w:rFonts w:ascii="Arial" w:hAnsi="Arial" w:cs="Arial"/>
          <w:b/>
          <w:bCs/>
          <w:sz w:val="28"/>
          <w:szCs w:val="28"/>
        </w:rPr>
        <w:t>Ambition Portuaire pour la Normandie 2021-2025</w:t>
      </w:r>
    </w:p>
    <w:p w:rsidR="00D27F11" w:rsidRPr="00D27F11" w:rsidRDefault="00D27F11" w:rsidP="00D27F11">
      <w:pPr>
        <w:spacing w:after="0" w:line="240" w:lineRule="auto"/>
        <w:jc w:val="both"/>
        <w:rPr>
          <w:rFonts w:ascii="Arial" w:hAnsi="Arial" w:cs="Arial"/>
          <w:b/>
          <w:bCs/>
        </w:rPr>
      </w:pPr>
    </w:p>
    <w:p w:rsidR="00D27F11" w:rsidRPr="00D27F11" w:rsidRDefault="00D27F11" w:rsidP="00D27F11">
      <w:pPr>
        <w:spacing w:after="0" w:line="240" w:lineRule="auto"/>
        <w:jc w:val="both"/>
        <w:rPr>
          <w:rFonts w:ascii="Arial" w:hAnsi="Arial" w:cs="Arial"/>
        </w:rPr>
      </w:pPr>
      <w:r w:rsidRPr="00D27F11">
        <w:rPr>
          <w:rFonts w:ascii="Arial" w:hAnsi="Arial" w:cs="Arial"/>
        </w:rPr>
        <w:t xml:space="preserve">Depuis 2019, les ports de Cherbourg, Caen et Dieppe sont regroupés sous la bannière de Ports de Normandie, et depuis le 1er juin 2021, l’ensemble portuaire HAROPA, composé des ports du Havre, de Rouen et de Paris, a franchi une nouvelle étape de coopération en ne formant plus qu’un seul établissement. </w:t>
      </w:r>
    </w:p>
    <w:p w:rsidR="00D27F11" w:rsidRPr="00D27F11" w:rsidRDefault="00D27F11" w:rsidP="00D27F11">
      <w:pPr>
        <w:spacing w:after="0" w:line="240" w:lineRule="auto"/>
        <w:jc w:val="both"/>
        <w:rPr>
          <w:rFonts w:ascii="Arial" w:hAnsi="Arial" w:cs="Arial"/>
        </w:rPr>
      </w:pPr>
    </w:p>
    <w:p w:rsidR="00D27F11" w:rsidRPr="00D27F11" w:rsidRDefault="00D27F11" w:rsidP="00D27F11">
      <w:pPr>
        <w:spacing w:after="0" w:line="240" w:lineRule="auto"/>
        <w:jc w:val="both"/>
        <w:rPr>
          <w:rFonts w:ascii="Arial" w:hAnsi="Arial" w:cs="Arial"/>
        </w:rPr>
      </w:pPr>
      <w:r w:rsidRPr="00D27F11">
        <w:rPr>
          <w:rFonts w:ascii="Arial" w:hAnsi="Arial" w:cs="Arial"/>
        </w:rPr>
        <w:t xml:space="preserve">La Région Normandie et les acteurs économiques, maritimes et industriels, des places portuaires du Havre et de Rouen, UMEP, UPR, </w:t>
      </w:r>
      <w:proofErr w:type="spellStart"/>
      <w:r w:rsidRPr="00D27F11">
        <w:rPr>
          <w:rFonts w:ascii="Arial" w:hAnsi="Arial" w:cs="Arial"/>
        </w:rPr>
        <w:t>SynerZIP</w:t>
      </w:r>
      <w:proofErr w:type="spellEnd"/>
      <w:r w:rsidRPr="00D27F11">
        <w:rPr>
          <w:rFonts w:ascii="Arial" w:hAnsi="Arial" w:cs="Arial"/>
        </w:rPr>
        <w:t>, AEPJR, et Ports de Normandie ont ainsi souhaité construire une ambition portuaire industrielle et logistique pour la Normandie, dans une approche faisant une large place à l’ancrage territorial et au tissu économique local.</w:t>
      </w:r>
    </w:p>
    <w:p w:rsidR="00D27F11" w:rsidRPr="00D27F11" w:rsidRDefault="00D27F11" w:rsidP="00D27F11">
      <w:pPr>
        <w:spacing w:after="0" w:line="240" w:lineRule="auto"/>
        <w:jc w:val="both"/>
        <w:rPr>
          <w:rFonts w:ascii="Arial" w:hAnsi="Arial" w:cs="Arial"/>
        </w:rPr>
      </w:pPr>
    </w:p>
    <w:p w:rsidR="00D27F11" w:rsidRPr="00D27F11" w:rsidRDefault="00D27F11" w:rsidP="00D27F11">
      <w:pPr>
        <w:spacing w:after="0" w:line="240" w:lineRule="auto"/>
        <w:jc w:val="both"/>
        <w:rPr>
          <w:rFonts w:ascii="Arial" w:hAnsi="Arial" w:cs="Arial"/>
        </w:rPr>
      </w:pPr>
      <w:r w:rsidRPr="00D27F11">
        <w:rPr>
          <w:rFonts w:ascii="Arial" w:hAnsi="Arial" w:cs="Arial"/>
        </w:rPr>
        <w:t>Elle regroupe des propositions émanant des acteurs économiques normands et de la Région Normandie</w:t>
      </w:r>
      <w:r>
        <w:rPr>
          <w:rFonts w:ascii="Arial" w:hAnsi="Arial" w:cs="Arial"/>
        </w:rPr>
        <w:t xml:space="preserve">, et </w:t>
      </w:r>
      <w:r w:rsidRPr="00D27F11">
        <w:rPr>
          <w:rFonts w:ascii="Arial" w:hAnsi="Arial" w:cs="Arial"/>
        </w:rPr>
        <w:t>se veut complémentaire du projet stratégique d’HAROPA Port.</w:t>
      </w:r>
    </w:p>
    <w:p w:rsidR="00D27F11" w:rsidRPr="00D27F11" w:rsidRDefault="00D27F11" w:rsidP="00D27F11">
      <w:pPr>
        <w:spacing w:after="0" w:line="240" w:lineRule="auto"/>
        <w:jc w:val="both"/>
        <w:rPr>
          <w:rFonts w:ascii="Arial" w:hAnsi="Arial" w:cs="Arial"/>
        </w:rPr>
      </w:pPr>
    </w:p>
    <w:p w:rsidR="00D27F11" w:rsidRDefault="00D27F11" w:rsidP="00D27F11">
      <w:pPr>
        <w:spacing w:after="0" w:line="240" w:lineRule="auto"/>
        <w:jc w:val="both"/>
        <w:rPr>
          <w:rFonts w:ascii="Arial" w:hAnsi="Arial" w:cs="Arial"/>
        </w:rPr>
      </w:pPr>
      <w:r w:rsidRPr="00D27F11">
        <w:rPr>
          <w:rFonts w:ascii="Arial" w:hAnsi="Arial" w:cs="Arial"/>
        </w:rPr>
        <w:t xml:space="preserve">Il est donc primordial de construire </w:t>
      </w:r>
      <w:r>
        <w:rPr>
          <w:rFonts w:ascii="Arial" w:hAnsi="Arial" w:cs="Arial"/>
        </w:rPr>
        <w:t xml:space="preserve">aujourd’hui </w:t>
      </w:r>
      <w:r w:rsidRPr="00D27F11">
        <w:rPr>
          <w:rFonts w:ascii="Arial" w:hAnsi="Arial" w:cs="Arial"/>
        </w:rPr>
        <w:t>un système portuaire performant, car les ports compétitifs de demain seront ceux qui auront réussi leurs transitions (énergétique, écologique, industrielle, numérique et humaine).</w:t>
      </w:r>
    </w:p>
    <w:p w:rsidR="004E283B" w:rsidRDefault="004E283B" w:rsidP="00D27F11">
      <w:pPr>
        <w:spacing w:after="0" w:line="240" w:lineRule="auto"/>
        <w:jc w:val="both"/>
        <w:rPr>
          <w:rFonts w:ascii="Arial" w:hAnsi="Arial" w:cs="Arial"/>
        </w:rPr>
      </w:pPr>
      <w:bookmarkStart w:id="0" w:name="_Hlk85123860"/>
    </w:p>
    <w:p w:rsidR="004E283B" w:rsidRPr="00CB0D91" w:rsidRDefault="00DA4C0F" w:rsidP="00D27F11">
      <w:pPr>
        <w:spacing w:after="0" w:line="240" w:lineRule="auto"/>
        <w:jc w:val="both"/>
        <w:rPr>
          <w:rFonts w:ascii="Arial" w:hAnsi="Arial" w:cs="Arial"/>
          <w:i/>
        </w:rPr>
      </w:pPr>
      <w:r w:rsidRPr="00CB0D91">
        <w:rPr>
          <w:rFonts w:ascii="Arial" w:hAnsi="Arial" w:cs="Arial"/>
          <w:i/>
        </w:rPr>
        <w:t xml:space="preserve">« Cette stratégie portuaire est l’expression d’une volonté partagée puissante de bâtir un projet dynamique autour de la Seine et son estuaire. Je suis très heureux de l’ambition et de l’énergie qui nous anime, et dans 10 ans, nous serons considérés comme une immense référence à la fois sur </w:t>
      </w:r>
      <w:r w:rsidR="00CB0D91">
        <w:rPr>
          <w:rFonts w:ascii="Arial" w:hAnsi="Arial" w:cs="Arial"/>
          <w:i/>
        </w:rPr>
        <w:t>l</w:t>
      </w:r>
      <w:r w:rsidRPr="00CB0D91">
        <w:rPr>
          <w:rFonts w:ascii="Arial" w:hAnsi="Arial" w:cs="Arial"/>
          <w:i/>
        </w:rPr>
        <w:t xml:space="preserve">es </w:t>
      </w:r>
      <w:r w:rsidR="00CB0D91">
        <w:rPr>
          <w:rFonts w:ascii="Arial" w:hAnsi="Arial" w:cs="Arial"/>
          <w:i/>
        </w:rPr>
        <w:t xml:space="preserve">questions </w:t>
      </w:r>
      <w:r w:rsidRPr="00CB0D91">
        <w:rPr>
          <w:rFonts w:ascii="Arial" w:hAnsi="Arial" w:cs="Arial"/>
          <w:i/>
        </w:rPr>
        <w:t xml:space="preserve">énergétiques, </w:t>
      </w:r>
      <w:r w:rsidR="00CB0D91">
        <w:rPr>
          <w:rFonts w:ascii="Arial" w:hAnsi="Arial" w:cs="Arial"/>
          <w:i/>
        </w:rPr>
        <w:t xml:space="preserve">sur </w:t>
      </w:r>
      <w:r w:rsidRPr="00CB0D91">
        <w:rPr>
          <w:rFonts w:ascii="Arial" w:hAnsi="Arial" w:cs="Arial"/>
          <w:i/>
        </w:rPr>
        <w:t xml:space="preserve">un nouveau modèle de développement, et sur la capacité de créer de la valeur ajoutée nouvelle à travers les initiatives industrielles d’entreprises qui sont en train de se transformer en profondeur, compte tenu de l’enjeu du réchauffement climatique » </w:t>
      </w:r>
      <w:r w:rsidR="00CB0D91" w:rsidRPr="00CB0D91">
        <w:rPr>
          <w:rFonts w:ascii="Arial" w:hAnsi="Arial" w:cs="Arial"/>
        </w:rPr>
        <w:t>déclare Hervé Morin, Président de la Région Normandie</w:t>
      </w:r>
    </w:p>
    <w:bookmarkEnd w:id="0"/>
    <w:p w:rsidR="00D27F11" w:rsidRPr="00D27F11" w:rsidRDefault="00D27F11" w:rsidP="00D27F11">
      <w:pPr>
        <w:spacing w:after="0" w:line="240" w:lineRule="auto"/>
        <w:jc w:val="both"/>
        <w:rPr>
          <w:rFonts w:ascii="Arial" w:hAnsi="Arial" w:cs="Arial"/>
        </w:rPr>
      </w:pPr>
    </w:p>
    <w:p w:rsidR="00D27F11" w:rsidRPr="00D27F11" w:rsidRDefault="00D27F11" w:rsidP="00D27F11">
      <w:pPr>
        <w:spacing w:after="0" w:line="240" w:lineRule="auto"/>
        <w:jc w:val="both"/>
        <w:rPr>
          <w:rFonts w:ascii="Arial" w:hAnsi="Arial" w:cs="Arial"/>
          <w:b/>
          <w:bCs/>
          <w:sz w:val="24"/>
          <w:szCs w:val="24"/>
        </w:rPr>
      </w:pPr>
      <w:r w:rsidRPr="00D27F11">
        <w:rPr>
          <w:rFonts w:ascii="Arial" w:hAnsi="Arial" w:cs="Arial"/>
          <w:b/>
          <w:bCs/>
          <w:sz w:val="24"/>
          <w:szCs w:val="24"/>
        </w:rPr>
        <w:t>Les ports, sites privilégiés pour un développement économique et industriel responsable et vertueux</w:t>
      </w:r>
    </w:p>
    <w:p w:rsidR="00D27F11" w:rsidRPr="00D27F11" w:rsidRDefault="00D27F11" w:rsidP="00D27F11">
      <w:pPr>
        <w:spacing w:after="0" w:line="240" w:lineRule="auto"/>
        <w:jc w:val="both"/>
        <w:rPr>
          <w:rFonts w:ascii="Arial" w:hAnsi="Arial" w:cs="Arial"/>
        </w:rPr>
      </w:pPr>
    </w:p>
    <w:p w:rsidR="00D27F11" w:rsidRPr="00D27F11" w:rsidRDefault="00D27F11" w:rsidP="00D27F11">
      <w:pPr>
        <w:spacing w:after="0" w:line="240" w:lineRule="auto"/>
        <w:jc w:val="both"/>
        <w:rPr>
          <w:rFonts w:ascii="Arial" w:hAnsi="Arial" w:cs="Arial"/>
        </w:rPr>
      </w:pPr>
      <w:r w:rsidRPr="00D27F11">
        <w:rPr>
          <w:rFonts w:ascii="Arial" w:hAnsi="Arial" w:cs="Arial"/>
        </w:rPr>
        <w:t>Il s'agit de favoriser l'implantation d'industries sur les zones industrialo-portuaires normandes, notamment dans le domaine de la transition écologique : les EMR en accentuant la collaboration entre les places portuaires, l’Hydrogène en faisant de la Vallée de la Seine le territoire pilote pour la production comme pour la consommation, le CO2 en soutenant financièrement les projets industriels de captation. L'objectif est également de développer des parcs d'activités industrielles et logistiques d'excellence (environnementale, réglementaire, sociale) pour garantir la compétitivité des ports normands.</w:t>
      </w:r>
    </w:p>
    <w:p w:rsidR="00D27F11" w:rsidRPr="00D27F11" w:rsidRDefault="00D27F11" w:rsidP="00D27F11">
      <w:pPr>
        <w:spacing w:after="0" w:line="240" w:lineRule="auto"/>
        <w:jc w:val="both"/>
        <w:rPr>
          <w:rFonts w:ascii="Arial" w:hAnsi="Arial" w:cs="Arial"/>
        </w:rPr>
      </w:pPr>
    </w:p>
    <w:p w:rsidR="00D27F11" w:rsidRDefault="00D27F11" w:rsidP="00D27F11">
      <w:pPr>
        <w:pStyle w:val="Paragraphedeliste"/>
        <w:numPr>
          <w:ilvl w:val="0"/>
          <w:numId w:val="13"/>
        </w:numPr>
        <w:spacing w:after="0" w:line="240" w:lineRule="auto"/>
        <w:jc w:val="both"/>
        <w:rPr>
          <w:rFonts w:ascii="Arial" w:eastAsia="Times New Roman" w:hAnsi="Arial" w:cs="Arial"/>
        </w:rPr>
      </w:pPr>
      <w:r w:rsidRPr="00D27F11">
        <w:rPr>
          <w:rFonts w:ascii="Arial" w:eastAsia="Times New Roman" w:hAnsi="Arial" w:cs="Arial"/>
        </w:rPr>
        <w:t>Quelques opérations déjà engagées par la Région Normandie :</w:t>
      </w:r>
    </w:p>
    <w:p w:rsidR="00CB0D91" w:rsidRPr="00CB0D91" w:rsidRDefault="00CB0D91" w:rsidP="00CB0D91">
      <w:pPr>
        <w:pStyle w:val="Paragraphedeliste"/>
        <w:numPr>
          <w:ilvl w:val="0"/>
          <w:numId w:val="17"/>
        </w:numPr>
        <w:spacing w:line="252" w:lineRule="auto"/>
        <w:jc w:val="both"/>
        <w:rPr>
          <w:rFonts w:eastAsia="Times New Roman"/>
          <w:i/>
        </w:rPr>
      </w:pPr>
      <w:r w:rsidRPr="00CB0D91">
        <w:rPr>
          <w:rFonts w:ascii="Arial" w:eastAsia="Times New Roman" w:hAnsi="Arial" w:cs="Arial"/>
          <w:b/>
          <w:bCs/>
          <w:i/>
        </w:rPr>
        <w:t>Le partenariat entre EDF et Ports de Normandie</w:t>
      </w:r>
      <w:r w:rsidRPr="00CB0D91">
        <w:rPr>
          <w:rFonts w:ascii="Arial" w:eastAsia="Times New Roman" w:hAnsi="Arial" w:cs="Arial"/>
          <w:i/>
        </w:rPr>
        <w:t xml:space="preserve"> en faveur du développement de Ports Attractifs, Innovants et Durables. Cet accord s’articule autour des quatre thèmes suivants : Qualité de l’air et alimentation à quai des navires / Production d’énergie / Carburants alternatifs / Hydrogène /Mobilité décarbonée / Innovation</w:t>
      </w:r>
      <w:r>
        <w:rPr>
          <w:rFonts w:ascii="Arial" w:eastAsia="Times New Roman" w:hAnsi="Arial" w:cs="Arial"/>
          <w:i/>
        </w:rPr>
        <w:t>,</w:t>
      </w:r>
    </w:p>
    <w:p w:rsidR="00CB0D91" w:rsidRPr="00D27F11" w:rsidRDefault="00CB0D91" w:rsidP="00CB0D91">
      <w:pPr>
        <w:pStyle w:val="Paragraphedeliste"/>
        <w:spacing w:after="0" w:line="240" w:lineRule="auto"/>
        <w:jc w:val="both"/>
        <w:rPr>
          <w:rFonts w:ascii="Arial" w:eastAsia="Times New Roman" w:hAnsi="Arial" w:cs="Arial"/>
        </w:rPr>
      </w:pPr>
    </w:p>
    <w:p w:rsidR="00D27F11" w:rsidRPr="00D27F11" w:rsidRDefault="00D27F11" w:rsidP="00D27F11">
      <w:pPr>
        <w:numPr>
          <w:ilvl w:val="0"/>
          <w:numId w:val="14"/>
        </w:numPr>
        <w:shd w:val="clear" w:color="auto" w:fill="FFFFFF"/>
        <w:spacing w:after="0" w:line="240" w:lineRule="auto"/>
        <w:jc w:val="both"/>
        <w:rPr>
          <w:rFonts w:ascii="Arial" w:eastAsia="Times New Roman" w:hAnsi="Arial" w:cs="Arial"/>
          <w:i/>
          <w:iCs/>
        </w:rPr>
      </w:pPr>
      <w:r w:rsidRPr="00D27F11">
        <w:rPr>
          <w:rFonts w:ascii="Arial" w:eastAsia="Times New Roman" w:hAnsi="Arial" w:cs="Arial"/>
          <w:b/>
          <w:bCs/>
          <w:i/>
          <w:iCs/>
        </w:rPr>
        <w:lastRenderedPageBreak/>
        <w:t xml:space="preserve">L’étude DEPLHY (Déploiement de </w:t>
      </w:r>
      <w:proofErr w:type="gramStart"/>
      <w:r w:rsidRPr="00D27F11">
        <w:rPr>
          <w:rFonts w:ascii="Arial" w:eastAsia="Times New Roman" w:hAnsi="Arial" w:cs="Arial"/>
          <w:b/>
          <w:bCs/>
          <w:i/>
          <w:iCs/>
        </w:rPr>
        <w:t xml:space="preserve">l’Hydrogène) </w:t>
      </w:r>
      <w:r w:rsidRPr="00D27F11">
        <w:rPr>
          <w:rFonts w:ascii="Arial" w:eastAsia="Times New Roman" w:hAnsi="Arial" w:cs="Arial"/>
          <w:i/>
          <w:iCs/>
        </w:rPr>
        <w:t> a</w:t>
      </w:r>
      <w:proofErr w:type="gramEnd"/>
      <w:r w:rsidRPr="00D27F11">
        <w:rPr>
          <w:rFonts w:ascii="Arial" w:eastAsia="Times New Roman" w:hAnsi="Arial" w:cs="Arial"/>
          <w:i/>
          <w:iCs/>
        </w:rPr>
        <w:t xml:space="preserve"> permis d’identifier les conditions à réunir pour favoriser le déploiement de l’hydrogène décarboné en Vallée de Seine dans l’industrie et la mobilité lourde.</w:t>
      </w:r>
    </w:p>
    <w:p w:rsidR="00D27F11" w:rsidRPr="00D27F11" w:rsidRDefault="00D27F11" w:rsidP="00D27F11">
      <w:pPr>
        <w:shd w:val="clear" w:color="auto" w:fill="FFFFFF"/>
        <w:spacing w:after="0" w:line="240" w:lineRule="auto"/>
        <w:ind w:left="720"/>
        <w:jc w:val="both"/>
        <w:rPr>
          <w:rFonts w:ascii="Arial" w:hAnsi="Arial" w:cs="Arial"/>
          <w:b/>
          <w:bCs/>
          <w:i/>
          <w:iCs/>
        </w:rPr>
      </w:pPr>
    </w:p>
    <w:p w:rsidR="00D27F11" w:rsidRPr="00D27F11" w:rsidRDefault="00D27F11" w:rsidP="00D27F11">
      <w:pPr>
        <w:numPr>
          <w:ilvl w:val="0"/>
          <w:numId w:val="14"/>
        </w:numPr>
        <w:shd w:val="clear" w:color="auto" w:fill="FFFFFF"/>
        <w:spacing w:after="0" w:line="240" w:lineRule="auto"/>
        <w:jc w:val="both"/>
        <w:rPr>
          <w:rFonts w:ascii="Arial" w:eastAsia="Times New Roman" w:hAnsi="Arial" w:cs="Arial"/>
          <w:i/>
          <w:iCs/>
        </w:rPr>
      </w:pPr>
      <w:r w:rsidRPr="00D27F11">
        <w:rPr>
          <w:rFonts w:ascii="Arial" w:eastAsia="Times New Roman" w:hAnsi="Arial" w:cs="Arial"/>
          <w:b/>
          <w:bCs/>
          <w:i/>
          <w:iCs/>
        </w:rPr>
        <w:t xml:space="preserve">Le projet </w:t>
      </w:r>
      <w:proofErr w:type="spellStart"/>
      <w:r w:rsidRPr="00D27F11">
        <w:rPr>
          <w:rFonts w:ascii="Arial" w:eastAsia="Times New Roman" w:hAnsi="Arial" w:cs="Arial"/>
          <w:b/>
          <w:bCs/>
          <w:i/>
          <w:iCs/>
        </w:rPr>
        <w:t>AviCAFE</w:t>
      </w:r>
      <w:proofErr w:type="spellEnd"/>
      <w:r w:rsidRPr="00D27F11">
        <w:rPr>
          <w:rFonts w:ascii="Arial" w:eastAsia="Times New Roman" w:hAnsi="Arial" w:cs="Arial"/>
          <w:b/>
          <w:bCs/>
          <w:i/>
          <w:iCs/>
        </w:rPr>
        <w:t xml:space="preserve"> Seine (Avitaillement en carburants à faible émissions pour le transport fluvial et maritime dans la Vallée de la Seine)</w:t>
      </w:r>
      <w:r w:rsidRPr="00D27F11">
        <w:rPr>
          <w:rFonts w:ascii="Arial" w:eastAsia="Times New Roman" w:hAnsi="Arial" w:cs="Arial"/>
          <w:i/>
          <w:iCs/>
        </w:rPr>
        <w:t xml:space="preserve"> a pour finalité de faire émerger à court ou moyen terme une chaîne d’avitaillement en carburants à faibles émissions à l'échelle de la Vallée de la Seine (périmètre Région Normandie et Région Ile-de-France). Les carburants visés sont le gaz naturel véhicule (sous sa forme liquéfiée ou comprimée) et l’hydrogène. </w:t>
      </w:r>
    </w:p>
    <w:p w:rsidR="00D27F11" w:rsidRPr="00D27F11" w:rsidRDefault="00D27F11" w:rsidP="00D27F11">
      <w:pPr>
        <w:pStyle w:val="Paragraphedeliste"/>
        <w:spacing w:after="0" w:line="240" w:lineRule="auto"/>
        <w:jc w:val="both"/>
        <w:rPr>
          <w:rFonts w:ascii="Arial" w:hAnsi="Arial" w:cs="Arial"/>
          <w:i/>
          <w:iCs/>
        </w:rPr>
      </w:pPr>
    </w:p>
    <w:p w:rsidR="0076773F" w:rsidRDefault="0076773F" w:rsidP="0076773F">
      <w:pPr>
        <w:pStyle w:val="Paragraphedeliste"/>
        <w:numPr>
          <w:ilvl w:val="0"/>
          <w:numId w:val="14"/>
        </w:numPr>
        <w:shd w:val="clear" w:color="auto" w:fill="FFFFFF"/>
        <w:spacing w:after="0" w:line="240" w:lineRule="auto"/>
        <w:jc w:val="both"/>
        <w:rPr>
          <w:rFonts w:ascii="Arial" w:eastAsia="Times New Roman" w:hAnsi="Arial" w:cs="Arial"/>
          <w:i/>
          <w:iCs/>
        </w:rPr>
      </w:pPr>
      <w:r>
        <w:rPr>
          <w:rFonts w:ascii="Arial" w:eastAsia="Times New Roman" w:hAnsi="Arial" w:cs="Arial"/>
          <w:b/>
          <w:bCs/>
          <w:i/>
          <w:iCs/>
          <w:color w:val="000000"/>
        </w:rPr>
        <w:t xml:space="preserve">L’étude préalable des projets de captation et de stockage du CO2 industriel « axe seine » </w:t>
      </w:r>
      <w:r>
        <w:rPr>
          <w:rFonts w:ascii="Arial" w:eastAsia="Times New Roman" w:hAnsi="Arial" w:cs="Arial"/>
          <w:i/>
          <w:iCs/>
          <w:color w:val="000000"/>
        </w:rPr>
        <w:t xml:space="preserve">coordonnée par </w:t>
      </w:r>
      <w:proofErr w:type="spellStart"/>
      <w:r>
        <w:rPr>
          <w:rFonts w:ascii="Arial" w:eastAsia="Times New Roman" w:hAnsi="Arial" w:cs="Arial"/>
          <w:i/>
          <w:iCs/>
          <w:color w:val="000000"/>
        </w:rPr>
        <w:t>SynerZIP</w:t>
      </w:r>
      <w:proofErr w:type="spellEnd"/>
      <w:r>
        <w:rPr>
          <w:rFonts w:ascii="Arial" w:eastAsia="Times New Roman" w:hAnsi="Arial" w:cs="Arial"/>
          <w:i/>
          <w:iCs/>
          <w:color w:val="000000"/>
        </w:rPr>
        <w:t xml:space="preserve"> LH, avec l’appui de nombreux industriels des zones industrialo-portuaires du Havre, Port Jérôme (AEPJR), Rouen (UPSIDE), et d’HAROPA, qui avait pour objectif principal d’étudier la faisabilité d’une infrastructure de récupération et transport du CO2 issu des processus industriels, en vue de sa valorisation et de son stockage</w:t>
      </w:r>
    </w:p>
    <w:p w:rsidR="00D27F11" w:rsidRPr="00D27F11" w:rsidRDefault="00D27F11" w:rsidP="00D27F11">
      <w:pPr>
        <w:shd w:val="clear" w:color="auto" w:fill="FFFFFF"/>
        <w:spacing w:after="0" w:line="240" w:lineRule="auto"/>
        <w:jc w:val="both"/>
        <w:rPr>
          <w:rFonts w:ascii="Arial" w:hAnsi="Arial" w:cs="Arial"/>
          <w:i/>
          <w:iCs/>
        </w:rPr>
      </w:pPr>
    </w:p>
    <w:p w:rsidR="00D27F11" w:rsidRPr="00D27F11" w:rsidRDefault="00D27F11" w:rsidP="00217CBE">
      <w:pPr>
        <w:spacing w:after="0" w:line="240" w:lineRule="auto"/>
        <w:jc w:val="both"/>
        <w:rPr>
          <w:rFonts w:ascii="Arial" w:hAnsi="Arial" w:cs="Arial"/>
          <w:b/>
          <w:bCs/>
          <w:sz w:val="24"/>
          <w:szCs w:val="24"/>
        </w:rPr>
      </w:pPr>
      <w:r w:rsidRPr="00D27F11">
        <w:rPr>
          <w:rFonts w:ascii="Arial" w:hAnsi="Arial" w:cs="Arial"/>
          <w:b/>
          <w:bCs/>
          <w:sz w:val="24"/>
          <w:szCs w:val="24"/>
        </w:rPr>
        <w:t>La transition écologique et énergétique comme levier de la compétitivité de l’Axe Seine</w:t>
      </w:r>
    </w:p>
    <w:p w:rsidR="00D27F11" w:rsidRPr="00D27F11" w:rsidRDefault="00D27F11" w:rsidP="00217CBE">
      <w:pPr>
        <w:spacing w:after="0" w:line="240" w:lineRule="auto"/>
        <w:jc w:val="both"/>
        <w:rPr>
          <w:rFonts w:ascii="Arial" w:hAnsi="Arial" w:cs="Arial"/>
        </w:rPr>
      </w:pPr>
    </w:p>
    <w:p w:rsidR="00D27F11" w:rsidRDefault="00D27F11" w:rsidP="00217CBE">
      <w:pPr>
        <w:spacing w:after="0" w:line="240" w:lineRule="auto"/>
        <w:jc w:val="both"/>
        <w:rPr>
          <w:rFonts w:ascii="Arial" w:hAnsi="Arial" w:cs="Arial"/>
        </w:rPr>
      </w:pPr>
      <w:r w:rsidRPr="00D27F11">
        <w:rPr>
          <w:rFonts w:ascii="Arial" w:hAnsi="Arial" w:cs="Arial"/>
        </w:rPr>
        <w:t xml:space="preserve">L'objectif est de limiter l'impact des activités industrielles et logistiques sur le changement climatique en favorisant la sobriété énergétique, en incitant à la multimodalité et à l'usage des modes massifiés, et en anticipant les conséquences du changement climatique dans les zones portuaires. </w:t>
      </w:r>
    </w:p>
    <w:p w:rsidR="00D27F11" w:rsidRPr="00D27F11" w:rsidRDefault="00D27F11" w:rsidP="00217CBE">
      <w:pPr>
        <w:spacing w:after="0" w:line="240" w:lineRule="auto"/>
        <w:jc w:val="both"/>
        <w:rPr>
          <w:rFonts w:ascii="Arial" w:hAnsi="Arial" w:cs="Arial"/>
        </w:rPr>
      </w:pPr>
    </w:p>
    <w:p w:rsidR="00D27F11" w:rsidRPr="00D27F11" w:rsidRDefault="00D27F11" w:rsidP="00217CBE">
      <w:pPr>
        <w:pStyle w:val="Paragraphedeliste"/>
        <w:numPr>
          <w:ilvl w:val="0"/>
          <w:numId w:val="15"/>
        </w:numPr>
        <w:spacing w:after="0" w:line="240" w:lineRule="auto"/>
        <w:jc w:val="both"/>
        <w:rPr>
          <w:rFonts w:ascii="Arial" w:eastAsia="Times New Roman" w:hAnsi="Arial" w:cs="Arial"/>
        </w:rPr>
      </w:pPr>
      <w:r w:rsidRPr="00D27F11">
        <w:rPr>
          <w:rFonts w:ascii="Arial" w:eastAsia="Times New Roman" w:hAnsi="Arial" w:cs="Arial"/>
        </w:rPr>
        <w:t>Quelques opérations déjà soutenues par la Région :</w:t>
      </w:r>
    </w:p>
    <w:p w:rsidR="00D27F11" w:rsidRDefault="00D27F11" w:rsidP="00217CBE">
      <w:pPr>
        <w:numPr>
          <w:ilvl w:val="0"/>
          <w:numId w:val="14"/>
        </w:numPr>
        <w:shd w:val="clear" w:color="auto" w:fill="FFFFFF"/>
        <w:spacing w:after="0" w:line="240" w:lineRule="auto"/>
        <w:jc w:val="both"/>
        <w:rPr>
          <w:rFonts w:ascii="Arial" w:eastAsia="Times New Roman" w:hAnsi="Arial" w:cs="Arial"/>
          <w:i/>
          <w:iCs/>
        </w:rPr>
      </w:pPr>
      <w:r w:rsidRPr="00D27F11">
        <w:rPr>
          <w:rFonts w:ascii="Arial" w:eastAsia="Times New Roman" w:hAnsi="Arial" w:cs="Arial"/>
          <w:b/>
          <w:bCs/>
          <w:i/>
          <w:iCs/>
        </w:rPr>
        <w:t>Modernisation des infrastructures pour développer le fret ferroviaire depuis les ports,</w:t>
      </w:r>
      <w:r w:rsidRPr="00D27F11">
        <w:rPr>
          <w:rFonts w:ascii="Arial" w:eastAsia="Times New Roman" w:hAnsi="Arial" w:cs="Arial"/>
          <w:i/>
          <w:iCs/>
        </w:rPr>
        <w:t xml:space="preserve"> à l’instar de la ligne Serqueux-Gisors, financée à hauteur de 90 millions d’euros par la Région,</w:t>
      </w:r>
    </w:p>
    <w:p w:rsidR="00217CBE" w:rsidRPr="00D27F11" w:rsidRDefault="00217CBE" w:rsidP="00217CBE">
      <w:pPr>
        <w:shd w:val="clear" w:color="auto" w:fill="FFFFFF"/>
        <w:spacing w:after="0" w:line="240" w:lineRule="auto"/>
        <w:ind w:left="720"/>
        <w:jc w:val="both"/>
        <w:rPr>
          <w:rFonts w:ascii="Arial" w:eastAsia="Times New Roman" w:hAnsi="Arial" w:cs="Arial"/>
          <w:i/>
          <w:iCs/>
        </w:rPr>
      </w:pPr>
    </w:p>
    <w:p w:rsidR="00D27F11" w:rsidRDefault="00D27F11" w:rsidP="00217CBE">
      <w:pPr>
        <w:numPr>
          <w:ilvl w:val="0"/>
          <w:numId w:val="14"/>
        </w:numPr>
        <w:shd w:val="clear" w:color="auto" w:fill="FFFFFF"/>
        <w:spacing w:after="0" w:line="240" w:lineRule="auto"/>
        <w:jc w:val="both"/>
        <w:rPr>
          <w:rFonts w:ascii="Arial" w:eastAsia="Times New Roman" w:hAnsi="Arial" w:cs="Arial"/>
          <w:i/>
          <w:iCs/>
        </w:rPr>
      </w:pPr>
      <w:r w:rsidRPr="00D27F11">
        <w:rPr>
          <w:rFonts w:ascii="Arial" w:eastAsia="Times New Roman" w:hAnsi="Arial" w:cs="Arial"/>
          <w:b/>
          <w:bCs/>
          <w:i/>
          <w:iCs/>
        </w:rPr>
        <w:t xml:space="preserve">Création de l’accès fluvial à Port 2000 dit « Chatière », </w:t>
      </w:r>
      <w:r w:rsidRPr="00D27F11">
        <w:rPr>
          <w:rFonts w:ascii="Arial" w:eastAsia="Times New Roman" w:hAnsi="Arial" w:cs="Arial"/>
          <w:i/>
          <w:iCs/>
        </w:rPr>
        <w:t xml:space="preserve">soutenue par la Région à hauteur de 82,75 millions d’euros sur un budget de 125 millions d’euros. </w:t>
      </w:r>
    </w:p>
    <w:p w:rsidR="00217CBE" w:rsidRPr="00D27F11" w:rsidRDefault="00217CBE" w:rsidP="00217CBE">
      <w:pPr>
        <w:shd w:val="clear" w:color="auto" w:fill="FFFFFF"/>
        <w:spacing w:after="0" w:line="240" w:lineRule="auto"/>
        <w:ind w:left="720"/>
        <w:jc w:val="both"/>
        <w:rPr>
          <w:rFonts w:ascii="Arial" w:eastAsia="Times New Roman" w:hAnsi="Arial" w:cs="Arial"/>
          <w:i/>
          <w:iCs/>
        </w:rPr>
      </w:pPr>
    </w:p>
    <w:p w:rsidR="00D27F11" w:rsidRPr="00D27F11" w:rsidRDefault="00D27F11" w:rsidP="00217CBE">
      <w:pPr>
        <w:numPr>
          <w:ilvl w:val="0"/>
          <w:numId w:val="14"/>
        </w:numPr>
        <w:shd w:val="clear" w:color="auto" w:fill="FFFFFF"/>
        <w:spacing w:after="0" w:line="240" w:lineRule="auto"/>
        <w:ind w:left="714" w:hanging="357"/>
        <w:jc w:val="both"/>
        <w:rPr>
          <w:rFonts w:ascii="Arial" w:hAnsi="Arial" w:cs="Arial"/>
          <w:i/>
          <w:iCs/>
        </w:rPr>
      </w:pPr>
      <w:r w:rsidRPr="00D27F11">
        <w:rPr>
          <w:rFonts w:ascii="Arial" w:hAnsi="Arial" w:cs="Arial"/>
          <w:b/>
          <w:bCs/>
          <w:i/>
          <w:iCs/>
        </w:rPr>
        <w:t>Développer l’autoroute ferroviaire Cherbourg-Bayonne :</w:t>
      </w:r>
      <w:r w:rsidRPr="00D27F11">
        <w:rPr>
          <w:rFonts w:ascii="Arial" w:hAnsi="Arial" w:cs="Arial"/>
          <w:i/>
          <w:iCs/>
        </w:rPr>
        <w:t xml:space="preserve"> l’aménagement de cet axe, porté aujourd’hui par Brittany Ferries, pourrait profiter aux ports du Havre et de Rouen pour lancer leur propre service ferroviaire depuis l’Espagne ou envisager un terminal d’éclatement afin que la navette quotidienne Bayonne-Cherbourg desserve également Rouen, Le Havre, ou Dieppe. La Région finance le terminal de ferroutage de Cherbourg via son financement apporté à Ports de Normandie, maître d’ouvrage de l’opération, soit un montant de 3 millions d’euros sur un projet estimé à 6 millions d’euros.</w:t>
      </w:r>
    </w:p>
    <w:p w:rsidR="00D27F11" w:rsidRPr="00D27F11" w:rsidRDefault="00D27F11" w:rsidP="00D27F11">
      <w:pPr>
        <w:pStyle w:val="Paragraphedeliste"/>
        <w:spacing w:after="0" w:line="240" w:lineRule="auto"/>
        <w:ind w:left="0"/>
        <w:jc w:val="both"/>
        <w:rPr>
          <w:rFonts w:ascii="Arial" w:hAnsi="Arial" w:cs="Arial"/>
        </w:rPr>
      </w:pPr>
    </w:p>
    <w:p w:rsidR="00D27F11" w:rsidRPr="00D27F11" w:rsidRDefault="00D27F11" w:rsidP="00D27F11">
      <w:pPr>
        <w:spacing w:after="0" w:line="240" w:lineRule="auto"/>
        <w:jc w:val="both"/>
        <w:rPr>
          <w:rFonts w:ascii="Arial" w:hAnsi="Arial" w:cs="Arial"/>
          <w:b/>
          <w:bCs/>
          <w:sz w:val="24"/>
          <w:szCs w:val="24"/>
        </w:rPr>
      </w:pPr>
      <w:r w:rsidRPr="00D27F11">
        <w:rPr>
          <w:rFonts w:ascii="Arial" w:hAnsi="Arial" w:cs="Arial"/>
          <w:b/>
          <w:bCs/>
          <w:sz w:val="24"/>
          <w:szCs w:val="24"/>
        </w:rPr>
        <w:t>La transition numérique comme vecteur de croissance des places portuaires</w:t>
      </w:r>
    </w:p>
    <w:p w:rsidR="00D27F11" w:rsidRPr="00D27F11" w:rsidRDefault="00D27F11" w:rsidP="00D27F11">
      <w:pPr>
        <w:spacing w:after="0" w:line="240" w:lineRule="auto"/>
        <w:jc w:val="both"/>
        <w:rPr>
          <w:rFonts w:ascii="Arial" w:hAnsi="Arial" w:cs="Arial"/>
        </w:rPr>
      </w:pPr>
    </w:p>
    <w:p w:rsidR="00D27F11" w:rsidRDefault="00D27F11" w:rsidP="00D27F11">
      <w:pPr>
        <w:spacing w:after="0" w:line="240" w:lineRule="auto"/>
        <w:jc w:val="both"/>
        <w:rPr>
          <w:rFonts w:ascii="Arial" w:hAnsi="Arial" w:cs="Arial"/>
        </w:rPr>
      </w:pPr>
      <w:r w:rsidRPr="00D27F11">
        <w:rPr>
          <w:rFonts w:ascii="Arial" w:hAnsi="Arial" w:cs="Arial"/>
        </w:rPr>
        <w:t xml:space="preserve">L'objectif est de prendre le virage de la transformation numérique pour accroître la compétitivité des ports, en mutualisant par exemple des outils numériques comme le Port Community System à l'échelle des ports normands (ports d'Etat et ports régionaux), le </w:t>
      </w:r>
      <w:proofErr w:type="spellStart"/>
      <w:r w:rsidRPr="00D27F11">
        <w:rPr>
          <w:rFonts w:ascii="Arial" w:hAnsi="Arial" w:cs="Arial"/>
        </w:rPr>
        <w:t>DataLab</w:t>
      </w:r>
      <w:proofErr w:type="spellEnd"/>
      <w:r w:rsidRPr="00D27F11">
        <w:rPr>
          <w:rFonts w:ascii="Arial" w:hAnsi="Arial" w:cs="Arial"/>
        </w:rPr>
        <w:t xml:space="preserve"> Normandie. </w:t>
      </w:r>
    </w:p>
    <w:p w:rsidR="00D27F11" w:rsidRPr="00217CBE" w:rsidRDefault="00F9152A" w:rsidP="00217CBE">
      <w:pPr>
        <w:spacing w:after="0" w:line="240" w:lineRule="auto"/>
        <w:jc w:val="both"/>
        <w:rPr>
          <w:rFonts w:ascii="Arial" w:eastAsia="Times New Roman" w:hAnsi="Arial" w:cs="Arial"/>
          <w:iCs/>
        </w:rPr>
      </w:pPr>
      <w:r>
        <w:rPr>
          <w:rFonts w:ascii="Arial" w:eastAsia="Times New Roman" w:hAnsi="Arial" w:cs="Arial"/>
        </w:rPr>
        <w:t xml:space="preserve">A ce titre, </w:t>
      </w:r>
      <w:r w:rsidR="00217CBE">
        <w:rPr>
          <w:rFonts w:ascii="Arial" w:eastAsia="Times New Roman" w:hAnsi="Arial" w:cs="Arial"/>
        </w:rPr>
        <w:t>la</w:t>
      </w:r>
      <w:r w:rsidR="00D27F11" w:rsidRPr="00D27F11">
        <w:rPr>
          <w:rFonts w:ascii="Arial" w:eastAsia="Times New Roman" w:hAnsi="Arial" w:cs="Arial"/>
        </w:rPr>
        <w:t xml:space="preserve"> Région </w:t>
      </w:r>
      <w:r w:rsidR="00217CBE">
        <w:rPr>
          <w:rFonts w:ascii="Arial" w:eastAsia="Times New Roman" w:hAnsi="Arial" w:cs="Arial"/>
        </w:rPr>
        <w:t>soutient déjà</w:t>
      </w:r>
      <w:r w:rsidR="00217CBE" w:rsidRPr="00217CBE">
        <w:rPr>
          <w:rFonts w:ascii="Arial" w:eastAsia="Times New Roman" w:hAnsi="Arial" w:cs="Arial"/>
        </w:rPr>
        <w:t xml:space="preserve"> le </w:t>
      </w:r>
      <w:r w:rsidR="00217CBE" w:rsidRPr="00217CBE">
        <w:rPr>
          <w:rFonts w:ascii="Arial" w:eastAsia="Times New Roman" w:hAnsi="Arial" w:cs="Arial"/>
          <w:b/>
        </w:rPr>
        <w:t>p</w:t>
      </w:r>
      <w:r w:rsidR="00D27F11" w:rsidRPr="00217CBE">
        <w:rPr>
          <w:rFonts w:ascii="Arial" w:eastAsia="Times New Roman" w:hAnsi="Arial" w:cs="Arial"/>
          <w:b/>
          <w:bCs/>
          <w:iCs/>
        </w:rPr>
        <w:t xml:space="preserve">rojet </w:t>
      </w:r>
      <w:proofErr w:type="spellStart"/>
      <w:r w:rsidR="00D27F11" w:rsidRPr="00217CBE">
        <w:rPr>
          <w:rFonts w:ascii="Arial" w:eastAsia="Times New Roman" w:hAnsi="Arial" w:cs="Arial"/>
          <w:b/>
          <w:bCs/>
          <w:iCs/>
        </w:rPr>
        <w:t>Riphante</w:t>
      </w:r>
      <w:proofErr w:type="spellEnd"/>
      <w:r w:rsidR="00D27F11" w:rsidRPr="00217CBE">
        <w:rPr>
          <w:rFonts w:ascii="Arial" w:eastAsia="Times New Roman" w:hAnsi="Arial" w:cs="Arial"/>
          <w:b/>
          <w:bCs/>
          <w:iCs/>
        </w:rPr>
        <w:t>, projet collaboratif de R&amp;D</w:t>
      </w:r>
      <w:r w:rsidR="00D27F11" w:rsidRPr="00217CBE">
        <w:rPr>
          <w:rFonts w:ascii="Arial" w:eastAsia="Times New Roman" w:hAnsi="Arial" w:cs="Arial"/>
          <w:iCs/>
        </w:rPr>
        <w:t xml:space="preserve"> qui </w:t>
      </w:r>
      <w:r w:rsidR="00217CBE">
        <w:rPr>
          <w:rFonts w:ascii="Arial" w:eastAsia="Times New Roman" w:hAnsi="Arial" w:cs="Arial"/>
          <w:iCs/>
        </w:rPr>
        <w:t xml:space="preserve">a pour objectif </w:t>
      </w:r>
      <w:r w:rsidR="00CB0D91">
        <w:rPr>
          <w:rFonts w:ascii="Arial" w:eastAsia="Times New Roman" w:hAnsi="Arial" w:cs="Arial"/>
          <w:iCs/>
        </w:rPr>
        <w:t>de</w:t>
      </w:r>
      <w:r w:rsidR="00D27F11" w:rsidRPr="00217CBE">
        <w:rPr>
          <w:rFonts w:ascii="Arial" w:eastAsia="Times New Roman" w:hAnsi="Arial" w:cs="Arial"/>
          <w:iCs/>
        </w:rPr>
        <w:t xml:space="preserve"> développer une plateforme de démonstration et d'expérimentation de solutions basées sur l’Internet des objets pour la zone industrielle et portuaire du Havre.</w:t>
      </w:r>
    </w:p>
    <w:p w:rsidR="00D27F11" w:rsidRPr="00D27F11" w:rsidRDefault="00D27F11" w:rsidP="00D27F11">
      <w:pPr>
        <w:spacing w:after="0" w:line="240" w:lineRule="auto"/>
        <w:jc w:val="both"/>
        <w:rPr>
          <w:rFonts w:ascii="Arial" w:hAnsi="Arial" w:cs="Arial"/>
          <w:b/>
          <w:bCs/>
          <w:u w:val="single"/>
        </w:rPr>
      </w:pPr>
    </w:p>
    <w:p w:rsidR="00D27F11" w:rsidRPr="00D27F11" w:rsidRDefault="00D27F11" w:rsidP="00D27F11">
      <w:pPr>
        <w:spacing w:after="0" w:line="240" w:lineRule="auto"/>
        <w:jc w:val="both"/>
        <w:rPr>
          <w:rFonts w:ascii="Arial" w:hAnsi="Arial" w:cs="Arial"/>
          <w:b/>
          <w:bCs/>
          <w:sz w:val="24"/>
          <w:szCs w:val="24"/>
        </w:rPr>
      </w:pPr>
      <w:r w:rsidRPr="00D27F11">
        <w:rPr>
          <w:rFonts w:ascii="Arial" w:hAnsi="Arial" w:cs="Arial"/>
          <w:b/>
          <w:bCs/>
          <w:sz w:val="24"/>
          <w:szCs w:val="24"/>
        </w:rPr>
        <w:lastRenderedPageBreak/>
        <w:t>L’emploi et la formation comme clés de la réussite des projets d’implantation industrielle et logistique en Normandie</w:t>
      </w:r>
    </w:p>
    <w:p w:rsidR="00D27F11" w:rsidRPr="00D27F11" w:rsidRDefault="00D27F11" w:rsidP="00D27F11">
      <w:pPr>
        <w:spacing w:after="0" w:line="240" w:lineRule="auto"/>
        <w:jc w:val="both"/>
        <w:rPr>
          <w:rFonts w:ascii="Arial" w:hAnsi="Arial" w:cs="Arial"/>
          <w:b/>
          <w:bCs/>
        </w:rPr>
      </w:pPr>
    </w:p>
    <w:p w:rsidR="00217CBE" w:rsidRDefault="00D27F11" w:rsidP="00217CBE">
      <w:pPr>
        <w:spacing w:after="0" w:line="240" w:lineRule="auto"/>
        <w:jc w:val="both"/>
        <w:rPr>
          <w:rFonts w:ascii="Arial" w:hAnsi="Arial" w:cs="Arial"/>
        </w:rPr>
      </w:pPr>
      <w:r w:rsidRPr="00D27F11">
        <w:rPr>
          <w:rFonts w:ascii="Arial" w:hAnsi="Arial" w:cs="Arial"/>
        </w:rPr>
        <w:t>Il s'agit de veiller à l'adaptation des besoins et des compétences dans le domaine portuaire et logistique afin de pouvoir répondre au besoin de main d'œuvre des nouvelles industries. L'idée est également d'améliorer l'attractivité des métiers et des formations dans ces domaines</w:t>
      </w:r>
      <w:r w:rsidR="00217CBE">
        <w:rPr>
          <w:rFonts w:ascii="Arial" w:hAnsi="Arial" w:cs="Arial"/>
        </w:rPr>
        <w:t>.</w:t>
      </w:r>
    </w:p>
    <w:p w:rsidR="00D27F11" w:rsidRPr="00D27F11" w:rsidRDefault="00217CBE" w:rsidP="00217CBE">
      <w:pPr>
        <w:spacing w:after="0" w:line="240" w:lineRule="auto"/>
        <w:jc w:val="both"/>
        <w:rPr>
          <w:rFonts w:ascii="Arial" w:eastAsia="Times New Roman" w:hAnsi="Arial" w:cs="Arial"/>
          <w:i/>
          <w:iCs/>
        </w:rPr>
      </w:pPr>
      <w:r>
        <w:rPr>
          <w:rFonts w:ascii="Arial" w:hAnsi="Arial" w:cs="Arial"/>
        </w:rPr>
        <w:t>La Région soutien</w:t>
      </w:r>
      <w:r w:rsidR="00CB0D91">
        <w:rPr>
          <w:rFonts w:ascii="Arial" w:hAnsi="Arial" w:cs="Arial"/>
        </w:rPr>
        <w:t>t</w:t>
      </w:r>
      <w:r>
        <w:rPr>
          <w:rFonts w:ascii="Arial" w:hAnsi="Arial" w:cs="Arial"/>
        </w:rPr>
        <w:t xml:space="preserve"> déjà le projet du </w:t>
      </w:r>
      <w:r w:rsidR="00D27F11" w:rsidRPr="00217CBE">
        <w:rPr>
          <w:rFonts w:ascii="Arial" w:eastAsia="Times New Roman" w:hAnsi="Arial" w:cs="Arial"/>
          <w:b/>
          <w:bCs/>
          <w:iCs/>
        </w:rPr>
        <w:t>Campus de la logistique</w:t>
      </w:r>
      <w:r w:rsidR="00D27F11" w:rsidRPr="00217CBE">
        <w:rPr>
          <w:rFonts w:ascii="Arial" w:eastAsia="Times New Roman" w:hAnsi="Arial" w:cs="Arial"/>
          <w:iCs/>
        </w:rPr>
        <w:t xml:space="preserve"> : un processus de labellisation d’excellence du Campus des Métiers et Qualifications </w:t>
      </w:r>
      <w:proofErr w:type="spellStart"/>
      <w:r w:rsidR="00D27F11" w:rsidRPr="00217CBE">
        <w:rPr>
          <w:rFonts w:ascii="Arial" w:eastAsia="Times New Roman" w:hAnsi="Arial" w:cs="Arial"/>
          <w:iCs/>
        </w:rPr>
        <w:t>Supply</w:t>
      </w:r>
      <w:proofErr w:type="spellEnd"/>
      <w:r w:rsidR="00D27F11" w:rsidRPr="00217CBE">
        <w:rPr>
          <w:rFonts w:ascii="Arial" w:eastAsia="Times New Roman" w:hAnsi="Arial" w:cs="Arial"/>
          <w:iCs/>
        </w:rPr>
        <w:t xml:space="preserve"> Chain de Normandie (CMQ ESCN) est en cours.</w:t>
      </w:r>
      <w:bookmarkStart w:id="1" w:name="_GoBack"/>
      <w:bookmarkEnd w:id="1"/>
      <w:r w:rsidR="00D27F11" w:rsidRPr="00217CBE">
        <w:rPr>
          <w:rFonts w:ascii="Arial" w:eastAsia="Times New Roman" w:hAnsi="Arial" w:cs="Arial"/>
          <w:iCs/>
        </w:rPr>
        <w:t xml:space="preserve"> Ce campus a vocation à développer ses actions dans un projet de territoire, et par la voie d’une montée en qualifications de tous types de publics par des formations du CAP aux diplômes supérieurs de ses établissements et partenaires d’écoles ingénieurs.</w:t>
      </w:r>
    </w:p>
    <w:p w:rsidR="00D27F11" w:rsidRPr="00D27F11" w:rsidRDefault="00D27F11" w:rsidP="00D27F11">
      <w:pPr>
        <w:pStyle w:val="Paragraphedeliste"/>
        <w:spacing w:after="0" w:line="240" w:lineRule="auto"/>
        <w:ind w:left="1440"/>
        <w:jc w:val="both"/>
        <w:rPr>
          <w:rFonts w:ascii="Arial" w:hAnsi="Arial" w:cs="Arial"/>
        </w:rPr>
      </w:pPr>
    </w:p>
    <w:p w:rsidR="00D27F11" w:rsidRPr="00D27F11" w:rsidRDefault="00D27F11" w:rsidP="00D27F11">
      <w:pPr>
        <w:spacing w:after="0" w:line="240" w:lineRule="auto"/>
        <w:jc w:val="both"/>
        <w:rPr>
          <w:rFonts w:ascii="Arial" w:hAnsi="Arial" w:cs="Arial"/>
          <w:b/>
          <w:bCs/>
          <w:sz w:val="24"/>
          <w:szCs w:val="24"/>
        </w:rPr>
      </w:pPr>
      <w:r w:rsidRPr="00D27F11">
        <w:rPr>
          <w:rFonts w:ascii="Arial" w:hAnsi="Arial" w:cs="Arial"/>
          <w:b/>
          <w:bCs/>
          <w:sz w:val="24"/>
          <w:szCs w:val="24"/>
        </w:rPr>
        <w:t>Un ancrage territorial des ports adapté aux enjeux de développement économique</w:t>
      </w:r>
    </w:p>
    <w:p w:rsidR="00D27F11" w:rsidRPr="00D27F11" w:rsidRDefault="00D27F11" w:rsidP="00D27F11">
      <w:pPr>
        <w:spacing w:after="0" w:line="240" w:lineRule="auto"/>
        <w:jc w:val="both"/>
        <w:rPr>
          <w:rFonts w:ascii="Arial" w:hAnsi="Arial" w:cs="Arial"/>
        </w:rPr>
      </w:pPr>
    </w:p>
    <w:p w:rsidR="00D27F11" w:rsidRPr="00D27F11" w:rsidRDefault="00D27F11" w:rsidP="00D27F11">
      <w:pPr>
        <w:spacing w:after="0" w:line="240" w:lineRule="auto"/>
        <w:jc w:val="both"/>
        <w:rPr>
          <w:rFonts w:ascii="Arial" w:hAnsi="Arial" w:cs="Arial"/>
          <w:b/>
          <w:bCs/>
          <w:u w:val="single"/>
        </w:rPr>
      </w:pPr>
      <w:r w:rsidRPr="00D27F11">
        <w:rPr>
          <w:rFonts w:ascii="Arial" w:hAnsi="Arial" w:cs="Arial"/>
        </w:rPr>
        <w:t>L’enjeu pour la Région est que les ports soient source de valeur ajoutée pour le territoire et pas seulement pour l'établissement portuaire. Ainsi, les acteurs publics et privés doivent peser dans les organes de gouvernance et l'examen des projets d'investissement ne doit plus se faire uniquement à l'aune du retour sur investissement pour les ports.</w:t>
      </w:r>
    </w:p>
    <w:p w:rsidR="00D27F11" w:rsidRPr="00D27F11" w:rsidRDefault="00D27F11" w:rsidP="00D27F11">
      <w:pPr>
        <w:pStyle w:val="Paragraphedeliste"/>
        <w:spacing w:after="0" w:line="240" w:lineRule="auto"/>
        <w:jc w:val="both"/>
        <w:rPr>
          <w:rFonts w:ascii="Arial" w:hAnsi="Arial" w:cs="Arial"/>
        </w:rPr>
      </w:pPr>
    </w:p>
    <w:p w:rsidR="00D27F11" w:rsidRPr="00D27F11" w:rsidRDefault="00D27F11" w:rsidP="00D27F11">
      <w:pPr>
        <w:spacing w:after="0" w:line="240" w:lineRule="auto"/>
        <w:jc w:val="both"/>
        <w:rPr>
          <w:rFonts w:ascii="Arial" w:hAnsi="Arial" w:cs="Arial"/>
        </w:rPr>
      </w:pPr>
      <w:r w:rsidRPr="00D27F11">
        <w:rPr>
          <w:rFonts w:ascii="Arial" w:hAnsi="Arial" w:cs="Arial"/>
        </w:rPr>
        <w:t>Cette ambition portuaire s’inscrit en complémentarité de la stratégie logistique déjà mis en œuvre par la Région dans le cadre de son Schéma Régional d’Aménagement, de Développement Durable et d’Egalité des Territoires (SRADDET) adopté en 2019, et approuvé par le Préfet de région en juillet 2020.</w:t>
      </w:r>
    </w:p>
    <w:p w:rsidR="00D27F11" w:rsidRPr="00D27F11" w:rsidRDefault="00D27F11" w:rsidP="00D27F11">
      <w:pPr>
        <w:spacing w:after="0" w:line="240" w:lineRule="auto"/>
        <w:jc w:val="both"/>
        <w:rPr>
          <w:rFonts w:ascii="Arial" w:hAnsi="Arial" w:cs="Arial"/>
          <w:b/>
          <w:bCs/>
        </w:rPr>
      </w:pPr>
    </w:p>
    <w:p w:rsidR="00D27F11" w:rsidRPr="00D27F11" w:rsidRDefault="00D27F11" w:rsidP="00D27F11">
      <w:pPr>
        <w:spacing w:after="0" w:line="240" w:lineRule="auto"/>
        <w:jc w:val="both"/>
        <w:rPr>
          <w:rFonts w:ascii="Arial" w:hAnsi="Arial" w:cs="Arial"/>
        </w:rPr>
      </w:pPr>
      <w:r w:rsidRPr="00D27F11">
        <w:rPr>
          <w:rFonts w:ascii="Arial" w:hAnsi="Arial" w:cs="Arial"/>
        </w:rPr>
        <w:t>Contact presse :</w:t>
      </w:r>
    </w:p>
    <w:p w:rsidR="00D27F11" w:rsidRPr="00D27F11" w:rsidRDefault="00D27F11" w:rsidP="00D27F11">
      <w:pPr>
        <w:spacing w:after="0" w:line="240" w:lineRule="auto"/>
        <w:jc w:val="both"/>
        <w:rPr>
          <w:rFonts w:ascii="Arial" w:hAnsi="Arial" w:cs="Arial"/>
        </w:rPr>
      </w:pPr>
      <w:r w:rsidRPr="00D27F11">
        <w:rPr>
          <w:rFonts w:ascii="Arial" w:hAnsi="Arial" w:cs="Arial"/>
        </w:rPr>
        <w:t xml:space="preserve">Laure Wattinne – 06 44 17 55 41 – </w:t>
      </w:r>
      <w:hyperlink r:id="rId15" w:history="1">
        <w:r w:rsidRPr="00D27F11">
          <w:rPr>
            <w:rStyle w:val="Lienhypertexte"/>
            <w:rFonts w:ascii="Arial" w:hAnsi="Arial" w:cs="Arial"/>
          </w:rPr>
          <w:t>laure.wattinne@normandie.fr</w:t>
        </w:r>
      </w:hyperlink>
    </w:p>
    <w:p w:rsidR="00E45378" w:rsidRPr="00BD0C16" w:rsidRDefault="00E45378" w:rsidP="00BD0C16">
      <w:pPr>
        <w:spacing w:after="0" w:line="240" w:lineRule="auto"/>
        <w:rPr>
          <w:rFonts w:ascii="Arial" w:hAnsi="Arial" w:cs="Arial"/>
        </w:rPr>
      </w:pPr>
    </w:p>
    <w:sectPr w:rsidR="00E45378" w:rsidRPr="00BD0C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738DA"/>
    <w:multiLevelType w:val="hybridMultilevel"/>
    <w:tmpl w:val="917A5A94"/>
    <w:lvl w:ilvl="0" w:tplc="B60EDDC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706E01"/>
    <w:multiLevelType w:val="hybridMultilevel"/>
    <w:tmpl w:val="D81C635C"/>
    <w:lvl w:ilvl="0" w:tplc="1EE23230">
      <w:start w:val="1"/>
      <w:numFmt w:val="bullet"/>
      <w:lvlText w:val="→"/>
      <w:lvlJc w:val="left"/>
      <w:pPr>
        <w:tabs>
          <w:tab w:val="num" w:pos="720"/>
        </w:tabs>
        <w:ind w:left="720" w:hanging="360"/>
      </w:pPr>
      <w:rPr>
        <w:rFonts w:ascii="Times New Roman" w:hAnsi="Times New Roman" w:hint="default"/>
      </w:rPr>
    </w:lvl>
    <w:lvl w:ilvl="1" w:tplc="D3A28544" w:tentative="1">
      <w:start w:val="1"/>
      <w:numFmt w:val="bullet"/>
      <w:lvlText w:val="→"/>
      <w:lvlJc w:val="left"/>
      <w:pPr>
        <w:tabs>
          <w:tab w:val="num" w:pos="1440"/>
        </w:tabs>
        <w:ind w:left="1440" w:hanging="360"/>
      </w:pPr>
      <w:rPr>
        <w:rFonts w:ascii="Times New Roman" w:hAnsi="Times New Roman" w:hint="default"/>
      </w:rPr>
    </w:lvl>
    <w:lvl w:ilvl="2" w:tplc="17F46134">
      <w:numFmt w:val="bullet"/>
      <w:lvlText w:val=""/>
      <w:lvlJc w:val="left"/>
      <w:pPr>
        <w:tabs>
          <w:tab w:val="num" w:pos="2160"/>
        </w:tabs>
        <w:ind w:left="2160" w:hanging="360"/>
      </w:pPr>
      <w:rPr>
        <w:rFonts w:ascii="Wingdings" w:hAnsi="Wingdings" w:hint="default"/>
      </w:rPr>
    </w:lvl>
    <w:lvl w:ilvl="3" w:tplc="80083522" w:tentative="1">
      <w:start w:val="1"/>
      <w:numFmt w:val="bullet"/>
      <w:lvlText w:val="→"/>
      <w:lvlJc w:val="left"/>
      <w:pPr>
        <w:tabs>
          <w:tab w:val="num" w:pos="2880"/>
        </w:tabs>
        <w:ind w:left="2880" w:hanging="360"/>
      </w:pPr>
      <w:rPr>
        <w:rFonts w:ascii="Times New Roman" w:hAnsi="Times New Roman" w:hint="default"/>
      </w:rPr>
    </w:lvl>
    <w:lvl w:ilvl="4" w:tplc="A762D1FE" w:tentative="1">
      <w:start w:val="1"/>
      <w:numFmt w:val="bullet"/>
      <w:lvlText w:val="→"/>
      <w:lvlJc w:val="left"/>
      <w:pPr>
        <w:tabs>
          <w:tab w:val="num" w:pos="3600"/>
        </w:tabs>
        <w:ind w:left="3600" w:hanging="360"/>
      </w:pPr>
      <w:rPr>
        <w:rFonts w:ascii="Times New Roman" w:hAnsi="Times New Roman" w:hint="default"/>
      </w:rPr>
    </w:lvl>
    <w:lvl w:ilvl="5" w:tplc="A058B772" w:tentative="1">
      <w:start w:val="1"/>
      <w:numFmt w:val="bullet"/>
      <w:lvlText w:val="→"/>
      <w:lvlJc w:val="left"/>
      <w:pPr>
        <w:tabs>
          <w:tab w:val="num" w:pos="4320"/>
        </w:tabs>
        <w:ind w:left="4320" w:hanging="360"/>
      </w:pPr>
      <w:rPr>
        <w:rFonts w:ascii="Times New Roman" w:hAnsi="Times New Roman" w:hint="default"/>
      </w:rPr>
    </w:lvl>
    <w:lvl w:ilvl="6" w:tplc="188E770A" w:tentative="1">
      <w:start w:val="1"/>
      <w:numFmt w:val="bullet"/>
      <w:lvlText w:val="→"/>
      <w:lvlJc w:val="left"/>
      <w:pPr>
        <w:tabs>
          <w:tab w:val="num" w:pos="5040"/>
        </w:tabs>
        <w:ind w:left="5040" w:hanging="360"/>
      </w:pPr>
      <w:rPr>
        <w:rFonts w:ascii="Times New Roman" w:hAnsi="Times New Roman" w:hint="default"/>
      </w:rPr>
    </w:lvl>
    <w:lvl w:ilvl="7" w:tplc="3AD4630E" w:tentative="1">
      <w:start w:val="1"/>
      <w:numFmt w:val="bullet"/>
      <w:lvlText w:val="→"/>
      <w:lvlJc w:val="left"/>
      <w:pPr>
        <w:tabs>
          <w:tab w:val="num" w:pos="5760"/>
        </w:tabs>
        <w:ind w:left="5760" w:hanging="360"/>
      </w:pPr>
      <w:rPr>
        <w:rFonts w:ascii="Times New Roman" w:hAnsi="Times New Roman" w:hint="default"/>
      </w:rPr>
    </w:lvl>
    <w:lvl w:ilvl="8" w:tplc="7374873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A23C98"/>
    <w:multiLevelType w:val="hybridMultilevel"/>
    <w:tmpl w:val="A3966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AC4028"/>
    <w:multiLevelType w:val="hybridMultilevel"/>
    <w:tmpl w:val="17209820"/>
    <w:lvl w:ilvl="0" w:tplc="6CDCAADC">
      <w:start w:val="1"/>
      <w:numFmt w:val="bullet"/>
      <w:lvlText w:val="→"/>
      <w:lvlJc w:val="left"/>
      <w:pPr>
        <w:tabs>
          <w:tab w:val="num" w:pos="720"/>
        </w:tabs>
        <w:ind w:left="720" w:hanging="360"/>
      </w:pPr>
      <w:rPr>
        <w:rFonts w:ascii="Times New Roman" w:hAnsi="Times New Roman" w:hint="default"/>
      </w:rPr>
    </w:lvl>
    <w:lvl w:ilvl="1" w:tplc="2AB4C860">
      <w:start w:val="1"/>
      <w:numFmt w:val="bullet"/>
      <w:lvlText w:val="→"/>
      <w:lvlJc w:val="left"/>
      <w:pPr>
        <w:tabs>
          <w:tab w:val="num" w:pos="1440"/>
        </w:tabs>
        <w:ind w:left="1440" w:hanging="360"/>
      </w:pPr>
      <w:rPr>
        <w:rFonts w:ascii="Times New Roman" w:hAnsi="Times New Roman" w:hint="default"/>
      </w:rPr>
    </w:lvl>
    <w:lvl w:ilvl="2" w:tplc="C3F65D56" w:tentative="1">
      <w:start w:val="1"/>
      <w:numFmt w:val="bullet"/>
      <w:lvlText w:val="→"/>
      <w:lvlJc w:val="left"/>
      <w:pPr>
        <w:tabs>
          <w:tab w:val="num" w:pos="2160"/>
        </w:tabs>
        <w:ind w:left="2160" w:hanging="360"/>
      </w:pPr>
      <w:rPr>
        <w:rFonts w:ascii="Times New Roman" w:hAnsi="Times New Roman" w:hint="default"/>
      </w:rPr>
    </w:lvl>
    <w:lvl w:ilvl="3" w:tplc="1B388812">
      <w:numFmt w:val="bullet"/>
      <w:lvlText w:val=""/>
      <w:lvlJc w:val="left"/>
      <w:pPr>
        <w:tabs>
          <w:tab w:val="num" w:pos="2880"/>
        </w:tabs>
        <w:ind w:left="2880" w:hanging="360"/>
      </w:pPr>
      <w:rPr>
        <w:rFonts w:ascii="Wingdings" w:hAnsi="Wingdings" w:hint="default"/>
      </w:rPr>
    </w:lvl>
    <w:lvl w:ilvl="4" w:tplc="AB02DF74" w:tentative="1">
      <w:start w:val="1"/>
      <w:numFmt w:val="bullet"/>
      <w:lvlText w:val="→"/>
      <w:lvlJc w:val="left"/>
      <w:pPr>
        <w:tabs>
          <w:tab w:val="num" w:pos="3600"/>
        </w:tabs>
        <w:ind w:left="3600" w:hanging="360"/>
      </w:pPr>
      <w:rPr>
        <w:rFonts w:ascii="Times New Roman" w:hAnsi="Times New Roman" w:hint="default"/>
      </w:rPr>
    </w:lvl>
    <w:lvl w:ilvl="5" w:tplc="DF6A7F94" w:tentative="1">
      <w:start w:val="1"/>
      <w:numFmt w:val="bullet"/>
      <w:lvlText w:val="→"/>
      <w:lvlJc w:val="left"/>
      <w:pPr>
        <w:tabs>
          <w:tab w:val="num" w:pos="4320"/>
        </w:tabs>
        <w:ind w:left="4320" w:hanging="360"/>
      </w:pPr>
      <w:rPr>
        <w:rFonts w:ascii="Times New Roman" w:hAnsi="Times New Roman" w:hint="default"/>
      </w:rPr>
    </w:lvl>
    <w:lvl w:ilvl="6" w:tplc="ECD4028E" w:tentative="1">
      <w:start w:val="1"/>
      <w:numFmt w:val="bullet"/>
      <w:lvlText w:val="→"/>
      <w:lvlJc w:val="left"/>
      <w:pPr>
        <w:tabs>
          <w:tab w:val="num" w:pos="5040"/>
        </w:tabs>
        <w:ind w:left="5040" w:hanging="360"/>
      </w:pPr>
      <w:rPr>
        <w:rFonts w:ascii="Times New Roman" w:hAnsi="Times New Roman" w:hint="default"/>
      </w:rPr>
    </w:lvl>
    <w:lvl w:ilvl="7" w:tplc="80A26754" w:tentative="1">
      <w:start w:val="1"/>
      <w:numFmt w:val="bullet"/>
      <w:lvlText w:val="→"/>
      <w:lvlJc w:val="left"/>
      <w:pPr>
        <w:tabs>
          <w:tab w:val="num" w:pos="5760"/>
        </w:tabs>
        <w:ind w:left="5760" w:hanging="360"/>
      </w:pPr>
      <w:rPr>
        <w:rFonts w:ascii="Times New Roman" w:hAnsi="Times New Roman" w:hint="default"/>
      </w:rPr>
    </w:lvl>
    <w:lvl w:ilvl="8" w:tplc="8C2015A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0816307"/>
    <w:multiLevelType w:val="hybridMultilevel"/>
    <w:tmpl w:val="A8B83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DF4542"/>
    <w:multiLevelType w:val="hybridMultilevel"/>
    <w:tmpl w:val="5E9C199A"/>
    <w:lvl w:ilvl="0" w:tplc="70B2F798">
      <w:start w:val="1"/>
      <w:numFmt w:val="bullet"/>
      <w:lvlText w:val="→"/>
      <w:lvlJc w:val="left"/>
      <w:pPr>
        <w:tabs>
          <w:tab w:val="num" w:pos="720"/>
        </w:tabs>
        <w:ind w:left="720" w:hanging="360"/>
      </w:pPr>
      <w:rPr>
        <w:rFonts w:ascii="Times New Roman" w:hAnsi="Times New Roman" w:hint="default"/>
      </w:rPr>
    </w:lvl>
    <w:lvl w:ilvl="1" w:tplc="44086200">
      <w:start w:val="1"/>
      <w:numFmt w:val="bullet"/>
      <w:lvlText w:val="→"/>
      <w:lvlJc w:val="left"/>
      <w:pPr>
        <w:tabs>
          <w:tab w:val="num" w:pos="1440"/>
        </w:tabs>
        <w:ind w:left="1440" w:hanging="360"/>
      </w:pPr>
      <w:rPr>
        <w:rFonts w:ascii="Times New Roman" w:hAnsi="Times New Roman" w:hint="default"/>
      </w:rPr>
    </w:lvl>
    <w:lvl w:ilvl="2" w:tplc="36A83DD4" w:tentative="1">
      <w:start w:val="1"/>
      <w:numFmt w:val="bullet"/>
      <w:lvlText w:val="→"/>
      <w:lvlJc w:val="left"/>
      <w:pPr>
        <w:tabs>
          <w:tab w:val="num" w:pos="2160"/>
        </w:tabs>
        <w:ind w:left="2160" w:hanging="360"/>
      </w:pPr>
      <w:rPr>
        <w:rFonts w:ascii="Times New Roman" w:hAnsi="Times New Roman" w:hint="default"/>
      </w:rPr>
    </w:lvl>
    <w:lvl w:ilvl="3" w:tplc="4916559E">
      <w:numFmt w:val="bullet"/>
      <w:lvlText w:val=""/>
      <w:lvlJc w:val="left"/>
      <w:pPr>
        <w:tabs>
          <w:tab w:val="num" w:pos="2880"/>
        </w:tabs>
        <w:ind w:left="2880" w:hanging="360"/>
      </w:pPr>
      <w:rPr>
        <w:rFonts w:ascii="Wingdings" w:hAnsi="Wingdings" w:hint="default"/>
      </w:rPr>
    </w:lvl>
    <w:lvl w:ilvl="4" w:tplc="EF927D0C" w:tentative="1">
      <w:start w:val="1"/>
      <w:numFmt w:val="bullet"/>
      <w:lvlText w:val="→"/>
      <w:lvlJc w:val="left"/>
      <w:pPr>
        <w:tabs>
          <w:tab w:val="num" w:pos="3600"/>
        </w:tabs>
        <w:ind w:left="3600" w:hanging="360"/>
      </w:pPr>
      <w:rPr>
        <w:rFonts w:ascii="Times New Roman" w:hAnsi="Times New Roman" w:hint="default"/>
      </w:rPr>
    </w:lvl>
    <w:lvl w:ilvl="5" w:tplc="A69ACB32" w:tentative="1">
      <w:start w:val="1"/>
      <w:numFmt w:val="bullet"/>
      <w:lvlText w:val="→"/>
      <w:lvlJc w:val="left"/>
      <w:pPr>
        <w:tabs>
          <w:tab w:val="num" w:pos="4320"/>
        </w:tabs>
        <w:ind w:left="4320" w:hanging="360"/>
      </w:pPr>
      <w:rPr>
        <w:rFonts w:ascii="Times New Roman" w:hAnsi="Times New Roman" w:hint="default"/>
      </w:rPr>
    </w:lvl>
    <w:lvl w:ilvl="6" w:tplc="CD9A3EE4" w:tentative="1">
      <w:start w:val="1"/>
      <w:numFmt w:val="bullet"/>
      <w:lvlText w:val="→"/>
      <w:lvlJc w:val="left"/>
      <w:pPr>
        <w:tabs>
          <w:tab w:val="num" w:pos="5040"/>
        </w:tabs>
        <w:ind w:left="5040" w:hanging="360"/>
      </w:pPr>
      <w:rPr>
        <w:rFonts w:ascii="Times New Roman" w:hAnsi="Times New Roman" w:hint="default"/>
      </w:rPr>
    </w:lvl>
    <w:lvl w:ilvl="7" w:tplc="05166C8A" w:tentative="1">
      <w:start w:val="1"/>
      <w:numFmt w:val="bullet"/>
      <w:lvlText w:val="→"/>
      <w:lvlJc w:val="left"/>
      <w:pPr>
        <w:tabs>
          <w:tab w:val="num" w:pos="5760"/>
        </w:tabs>
        <w:ind w:left="5760" w:hanging="360"/>
      </w:pPr>
      <w:rPr>
        <w:rFonts w:ascii="Times New Roman" w:hAnsi="Times New Roman" w:hint="default"/>
      </w:rPr>
    </w:lvl>
    <w:lvl w:ilvl="8" w:tplc="55D2B31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94D5FAB"/>
    <w:multiLevelType w:val="hybridMultilevel"/>
    <w:tmpl w:val="E5BCDD5E"/>
    <w:lvl w:ilvl="0" w:tplc="B3322208">
      <w:numFmt w:val="bullet"/>
      <w:lvlText w:val=""/>
      <w:lvlJc w:val="left"/>
      <w:pPr>
        <w:ind w:left="1068" w:hanging="360"/>
      </w:pPr>
      <w:rPr>
        <w:rFonts w:ascii="Symbol" w:eastAsia="Calibri" w:hAnsi="Symbol"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7" w15:restartNumberingAfterBreak="0">
    <w:nsid w:val="50A91864"/>
    <w:multiLevelType w:val="hybridMultilevel"/>
    <w:tmpl w:val="CC6E2640"/>
    <w:lvl w:ilvl="0" w:tplc="AB7C641A">
      <w:start w:val="1"/>
      <w:numFmt w:val="bullet"/>
      <w:lvlText w:val="→"/>
      <w:lvlJc w:val="left"/>
      <w:pPr>
        <w:tabs>
          <w:tab w:val="num" w:pos="720"/>
        </w:tabs>
        <w:ind w:left="720" w:hanging="360"/>
      </w:pPr>
      <w:rPr>
        <w:rFonts w:ascii="Times New Roman" w:hAnsi="Times New Roman" w:hint="default"/>
      </w:rPr>
    </w:lvl>
    <w:lvl w:ilvl="1" w:tplc="CAC43C44">
      <w:start w:val="1"/>
      <w:numFmt w:val="bullet"/>
      <w:lvlText w:val="→"/>
      <w:lvlJc w:val="left"/>
      <w:pPr>
        <w:tabs>
          <w:tab w:val="num" w:pos="1440"/>
        </w:tabs>
        <w:ind w:left="1440" w:hanging="360"/>
      </w:pPr>
      <w:rPr>
        <w:rFonts w:ascii="Times New Roman" w:hAnsi="Times New Roman" w:hint="default"/>
      </w:rPr>
    </w:lvl>
    <w:lvl w:ilvl="2" w:tplc="60146A6C" w:tentative="1">
      <w:start w:val="1"/>
      <w:numFmt w:val="bullet"/>
      <w:lvlText w:val="→"/>
      <w:lvlJc w:val="left"/>
      <w:pPr>
        <w:tabs>
          <w:tab w:val="num" w:pos="2160"/>
        </w:tabs>
        <w:ind w:left="2160" w:hanging="360"/>
      </w:pPr>
      <w:rPr>
        <w:rFonts w:ascii="Times New Roman" w:hAnsi="Times New Roman" w:hint="default"/>
      </w:rPr>
    </w:lvl>
    <w:lvl w:ilvl="3" w:tplc="120A5BD4">
      <w:numFmt w:val="bullet"/>
      <w:lvlText w:val=""/>
      <w:lvlJc w:val="left"/>
      <w:pPr>
        <w:tabs>
          <w:tab w:val="num" w:pos="2880"/>
        </w:tabs>
        <w:ind w:left="2880" w:hanging="360"/>
      </w:pPr>
      <w:rPr>
        <w:rFonts w:ascii="Wingdings" w:hAnsi="Wingdings" w:hint="default"/>
      </w:rPr>
    </w:lvl>
    <w:lvl w:ilvl="4" w:tplc="2BE8C376" w:tentative="1">
      <w:start w:val="1"/>
      <w:numFmt w:val="bullet"/>
      <w:lvlText w:val="→"/>
      <w:lvlJc w:val="left"/>
      <w:pPr>
        <w:tabs>
          <w:tab w:val="num" w:pos="3600"/>
        </w:tabs>
        <w:ind w:left="3600" w:hanging="360"/>
      </w:pPr>
      <w:rPr>
        <w:rFonts w:ascii="Times New Roman" w:hAnsi="Times New Roman" w:hint="default"/>
      </w:rPr>
    </w:lvl>
    <w:lvl w:ilvl="5" w:tplc="1AD48B46" w:tentative="1">
      <w:start w:val="1"/>
      <w:numFmt w:val="bullet"/>
      <w:lvlText w:val="→"/>
      <w:lvlJc w:val="left"/>
      <w:pPr>
        <w:tabs>
          <w:tab w:val="num" w:pos="4320"/>
        </w:tabs>
        <w:ind w:left="4320" w:hanging="360"/>
      </w:pPr>
      <w:rPr>
        <w:rFonts w:ascii="Times New Roman" w:hAnsi="Times New Roman" w:hint="default"/>
      </w:rPr>
    </w:lvl>
    <w:lvl w:ilvl="6" w:tplc="8AB25DF4" w:tentative="1">
      <w:start w:val="1"/>
      <w:numFmt w:val="bullet"/>
      <w:lvlText w:val="→"/>
      <w:lvlJc w:val="left"/>
      <w:pPr>
        <w:tabs>
          <w:tab w:val="num" w:pos="5040"/>
        </w:tabs>
        <w:ind w:left="5040" w:hanging="360"/>
      </w:pPr>
      <w:rPr>
        <w:rFonts w:ascii="Times New Roman" w:hAnsi="Times New Roman" w:hint="default"/>
      </w:rPr>
    </w:lvl>
    <w:lvl w:ilvl="7" w:tplc="C93A3784" w:tentative="1">
      <w:start w:val="1"/>
      <w:numFmt w:val="bullet"/>
      <w:lvlText w:val="→"/>
      <w:lvlJc w:val="left"/>
      <w:pPr>
        <w:tabs>
          <w:tab w:val="num" w:pos="5760"/>
        </w:tabs>
        <w:ind w:left="5760" w:hanging="360"/>
      </w:pPr>
      <w:rPr>
        <w:rFonts w:ascii="Times New Roman" w:hAnsi="Times New Roman" w:hint="default"/>
      </w:rPr>
    </w:lvl>
    <w:lvl w:ilvl="8" w:tplc="35FEDD2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AF00036"/>
    <w:multiLevelType w:val="hybridMultilevel"/>
    <w:tmpl w:val="8842EB42"/>
    <w:lvl w:ilvl="0" w:tplc="FB42DE8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041763"/>
    <w:multiLevelType w:val="hybridMultilevel"/>
    <w:tmpl w:val="2B2EDF04"/>
    <w:lvl w:ilvl="0" w:tplc="FB42DE8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7E289F"/>
    <w:multiLevelType w:val="hybridMultilevel"/>
    <w:tmpl w:val="4D20124E"/>
    <w:lvl w:ilvl="0" w:tplc="84D0C6DC">
      <w:start w:val="1"/>
      <w:numFmt w:val="bullet"/>
      <w:lvlText w:val="→"/>
      <w:lvlJc w:val="left"/>
      <w:pPr>
        <w:tabs>
          <w:tab w:val="num" w:pos="720"/>
        </w:tabs>
        <w:ind w:left="720" w:hanging="360"/>
      </w:pPr>
      <w:rPr>
        <w:rFonts w:ascii="Arial" w:hAnsi="Arial" w:hint="default"/>
      </w:rPr>
    </w:lvl>
    <w:lvl w:ilvl="1" w:tplc="75D4B74C" w:tentative="1">
      <w:start w:val="1"/>
      <w:numFmt w:val="bullet"/>
      <w:lvlText w:val="→"/>
      <w:lvlJc w:val="left"/>
      <w:pPr>
        <w:tabs>
          <w:tab w:val="num" w:pos="1440"/>
        </w:tabs>
        <w:ind w:left="1440" w:hanging="360"/>
      </w:pPr>
      <w:rPr>
        <w:rFonts w:ascii="Arial" w:hAnsi="Arial" w:hint="default"/>
      </w:rPr>
    </w:lvl>
    <w:lvl w:ilvl="2" w:tplc="71F2D1E2" w:tentative="1">
      <w:start w:val="1"/>
      <w:numFmt w:val="bullet"/>
      <w:lvlText w:val="→"/>
      <w:lvlJc w:val="left"/>
      <w:pPr>
        <w:tabs>
          <w:tab w:val="num" w:pos="2160"/>
        </w:tabs>
        <w:ind w:left="2160" w:hanging="360"/>
      </w:pPr>
      <w:rPr>
        <w:rFonts w:ascii="Arial" w:hAnsi="Arial" w:hint="default"/>
      </w:rPr>
    </w:lvl>
    <w:lvl w:ilvl="3" w:tplc="464ADF14" w:tentative="1">
      <w:start w:val="1"/>
      <w:numFmt w:val="bullet"/>
      <w:lvlText w:val="→"/>
      <w:lvlJc w:val="left"/>
      <w:pPr>
        <w:tabs>
          <w:tab w:val="num" w:pos="2880"/>
        </w:tabs>
        <w:ind w:left="2880" w:hanging="360"/>
      </w:pPr>
      <w:rPr>
        <w:rFonts w:ascii="Arial" w:hAnsi="Arial" w:hint="default"/>
      </w:rPr>
    </w:lvl>
    <w:lvl w:ilvl="4" w:tplc="B122F56A" w:tentative="1">
      <w:start w:val="1"/>
      <w:numFmt w:val="bullet"/>
      <w:lvlText w:val="→"/>
      <w:lvlJc w:val="left"/>
      <w:pPr>
        <w:tabs>
          <w:tab w:val="num" w:pos="3600"/>
        </w:tabs>
        <w:ind w:left="3600" w:hanging="360"/>
      </w:pPr>
      <w:rPr>
        <w:rFonts w:ascii="Arial" w:hAnsi="Arial" w:hint="default"/>
      </w:rPr>
    </w:lvl>
    <w:lvl w:ilvl="5" w:tplc="987AFD36" w:tentative="1">
      <w:start w:val="1"/>
      <w:numFmt w:val="bullet"/>
      <w:lvlText w:val="→"/>
      <w:lvlJc w:val="left"/>
      <w:pPr>
        <w:tabs>
          <w:tab w:val="num" w:pos="4320"/>
        </w:tabs>
        <w:ind w:left="4320" w:hanging="360"/>
      </w:pPr>
      <w:rPr>
        <w:rFonts w:ascii="Arial" w:hAnsi="Arial" w:hint="default"/>
      </w:rPr>
    </w:lvl>
    <w:lvl w:ilvl="6" w:tplc="9364D59C" w:tentative="1">
      <w:start w:val="1"/>
      <w:numFmt w:val="bullet"/>
      <w:lvlText w:val="→"/>
      <w:lvlJc w:val="left"/>
      <w:pPr>
        <w:tabs>
          <w:tab w:val="num" w:pos="5040"/>
        </w:tabs>
        <w:ind w:left="5040" w:hanging="360"/>
      </w:pPr>
      <w:rPr>
        <w:rFonts w:ascii="Arial" w:hAnsi="Arial" w:hint="default"/>
      </w:rPr>
    </w:lvl>
    <w:lvl w:ilvl="7" w:tplc="74AE90AE" w:tentative="1">
      <w:start w:val="1"/>
      <w:numFmt w:val="bullet"/>
      <w:lvlText w:val="→"/>
      <w:lvlJc w:val="left"/>
      <w:pPr>
        <w:tabs>
          <w:tab w:val="num" w:pos="5760"/>
        </w:tabs>
        <w:ind w:left="5760" w:hanging="360"/>
      </w:pPr>
      <w:rPr>
        <w:rFonts w:ascii="Arial" w:hAnsi="Arial" w:hint="default"/>
      </w:rPr>
    </w:lvl>
    <w:lvl w:ilvl="8" w:tplc="F7A4F0D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51E46D7"/>
    <w:multiLevelType w:val="hybridMultilevel"/>
    <w:tmpl w:val="D0E208E0"/>
    <w:lvl w:ilvl="0" w:tplc="FB42DE8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C7D2A63"/>
    <w:multiLevelType w:val="hybridMultilevel"/>
    <w:tmpl w:val="C0F05246"/>
    <w:lvl w:ilvl="0" w:tplc="B0228246">
      <w:start w:val="1"/>
      <w:numFmt w:val="bullet"/>
      <w:lvlText w:val="→"/>
      <w:lvlJc w:val="left"/>
      <w:pPr>
        <w:tabs>
          <w:tab w:val="num" w:pos="720"/>
        </w:tabs>
        <w:ind w:left="720" w:hanging="360"/>
      </w:pPr>
      <w:rPr>
        <w:rFonts w:ascii="Times New Roman" w:hAnsi="Times New Roman" w:hint="default"/>
      </w:rPr>
    </w:lvl>
    <w:lvl w:ilvl="1" w:tplc="18EA30B6">
      <w:start w:val="1"/>
      <w:numFmt w:val="bullet"/>
      <w:lvlText w:val="→"/>
      <w:lvlJc w:val="left"/>
      <w:pPr>
        <w:tabs>
          <w:tab w:val="num" w:pos="1440"/>
        </w:tabs>
        <w:ind w:left="1440" w:hanging="360"/>
      </w:pPr>
      <w:rPr>
        <w:rFonts w:ascii="Times New Roman" w:hAnsi="Times New Roman" w:hint="default"/>
      </w:rPr>
    </w:lvl>
    <w:lvl w:ilvl="2" w:tplc="160889C2">
      <w:numFmt w:val="bullet"/>
      <w:lvlText w:val=""/>
      <w:lvlJc w:val="left"/>
      <w:pPr>
        <w:tabs>
          <w:tab w:val="num" w:pos="2160"/>
        </w:tabs>
        <w:ind w:left="2160" w:hanging="360"/>
      </w:pPr>
      <w:rPr>
        <w:rFonts w:ascii="Wingdings" w:hAnsi="Wingdings" w:hint="default"/>
      </w:rPr>
    </w:lvl>
    <w:lvl w:ilvl="3" w:tplc="38183E28" w:tentative="1">
      <w:start w:val="1"/>
      <w:numFmt w:val="bullet"/>
      <w:lvlText w:val="→"/>
      <w:lvlJc w:val="left"/>
      <w:pPr>
        <w:tabs>
          <w:tab w:val="num" w:pos="2880"/>
        </w:tabs>
        <w:ind w:left="2880" w:hanging="360"/>
      </w:pPr>
      <w:rPr>
        <w:rFonts w:ascii="Times New Roman" w:hAnsi="Times New Roman" w:hint="default"/>
      </w:rPr>
    </w:lvl>
    <w:lvl w:ilvl="4" w:tplc="1854B144" w:tentative="1">
      <w:start w:val="1"/>
      <w:numFmt w:val="bullet"/>
      <w:lvlText w:val="→"/>
      <w:lvlJc w:val="left"/>
      <w:pPr>
        <w:tabs>
          <w:tab w:val="num" w:pos="3600"/>
        </w:tabs>
        <w:ind w:left="3600" w:hanging="360"/>
      </w:pPr>
      <w:rPr>
        <w:rFonts w:ascii="Times New Roman" w:hAnsi="Times New Roman" w:hint="default"/>
      </w:rPr>
    </w:lvl>
    <w:lvl w:ilvl="5" w:tplc="269ECBB8" w:tentative="1">
      <w:start w:val="1"/>
      <w:numFmt w:val="bullet"/>
      <w:lvlText w:val="→"/>
      <w:lvlJc w:val="left"/>
      <w:pPr>
        <w:tabs>
          <w:tab w:val="num" w:pos="4320"/>
        </w:tabs>
        <w:ind w:left="4320" w:hanging="360"/>
      </w:pPr>
      <w:rPr>
        <w:rFonts w:ascii="Times New Roman" w:hAnsi="Times New Roman" w:hint="default"/>
      </w:rPr>
    </w:lvl>
    <w:lvl w:ilvl="6" w:tplc="EB5A6338" w:tentative="1">
      <w:start w:val="1"/>
      <w:numFmt w:val="bullet"/>
      <w:lvlText w:val="→"/>
      <w:lvlJc w:val="left"/>
      <w:pPr>
        <w:tabs>
          <w:tab w:val="num" w:pos="5040"/>
        </w:tabs>
        <w:ind w:left="5040" w:hanging="360"/>
      </w:pPr>
      <w:rPr>
        <w:rFonts w:ascii="Times New Roman" w:hAnsi="Times New Roman" w:hint="default"/>
      </w:rPr>
    </w:lvl>
    <w:lvl w:ilvl="7" w:tplc="B540F69E" w:tentative="1">
      <w:start w:val="1"/>
      <w:numFmt w:val="bullet"/>
      <w:lvlText w:val="→"/>
      <w:lvlJc w:val="left"/>
      <w:pPr>
        <w:tabs>
          <w:tab w:val="num" w:pos="5760"/>
        </w:tabs>
        <w:ind w:left="5760" w:hanging="360"/>
      </w:pPr>
      <w:rPr>
        <w:rFonts w:ascii="Times New Roman" w:hAnsi="Times New Roman" w:hint="default"/>
      </w:rPr>
    </w:lvl>
    <w:lvl w:ilvl="8" w:tplc="9092CCD4"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0"/>
  </w:num>
  <w:num w:numId="3">
    <w:abstractNumId w:val="1"/>
  </w:num>
  <w:num w:numId="4">
    <w:abstractNumId w:val="12"/>
  </w:num>
  <w:num w:numId="5">
    <w:abstractNumId w:val="5"/>
  </w:num>
  <w:num w:numId="6">
    <w:abstractNumId w:val="7"/>
  </w:num>
  <w:num w:numId="7">
    <w:abstractNumId w:val="3"/>
  </w:num>
  <w:num w:numId="8">
    <w:abstractNumId w:val="9"/>
  </w:num>
  <w:num w:numId="9">
    <w:abstractNumId w:val="6"/>
  </w:num>
  <w:num w:numId="10">
    <w:abstractNumId w:val="6"/>
  </w:num>
  <w:num w:numId="11">
    <w:abstractNumId w:val="4"/>
  </w:num>
  <w:num w:numId="12">
    <w:abstractNumId w:val="2"/>
  </w:num>
  <w:num w:numId="13">
    <w:abstractNumId w:val="2"/>
    <w:lvlOverride w:ilvl="0"/>
    <w:lvlOverride w:ilvl="1"/>
    <w:lvlOverride w:ilvl="2"/>
    <w:lvlOverride w:ilvl="3"/>
    <w:lvlOverride w:ilvl="4"/>
    <w:lvlOverride w:ilvl="5"/>
    <w:lvlOverride w:ilvl="6"/>
    <w:lvlOverride w:ilvl="7"/>
    <w:lvlOverride w:ilvl="8"/>
  </w:num>
  <w:num w:numId="14">
    <w:abstractNumId w:val="9"/>
    <w:lvlOverride w:ilvl="0"/>
    <w:lvlOverride w:ilvl="1"/>
    <w:lvlOverride w:ilvl="2"/>
    <w:lvlOverride w:ilvl="3"/>
    <w:lvlOverride w:ilvl="4"/>
    <w:lvlOverride w:ilvl="5"/>
    <w:lvlOverride w:ilvl="6"/>
    <w:lvlOverride w:ilvl="7"/>
    <w:lvlOverride w:ilvl="8"/>
  </w:num>
  <w:num w:numId="15">
    <w:abstractNumId w:val="4"/>
    <w:lvlOverride w:ilvl="0"/>
    <w:lvlOverride w:ilvl="1"/>
    <w:lvlOverride w:ilvl="2"/>
    <w:lvlOverride w:ilvl="3"/>
    <w:lvlOverride w:ilvl="4"/>
    <w:lvlOverride w:ilvl="5"/>
    <w:lvlOverride w:ilvl="6"/>
    <w:lvlOverride w:ilvl="7"/>
    <w:lvlOverride w:ilvl="8"/>
  </w:num>
  <w:num w:numId="16">
    <w:abstractNumId w:val="11"/>
    <w:lvlOverride w:ilvl="0"/>
    <w:lvlOverride w:ilvl="1"/>
    <w:lvlOverride w:ilvl="2"/>
    <w:lvlOverride w:ilvl="3"/>
    <w:lvlOverride w:ilvl="4"/>
    <w:lvlOverride w:ilvl="5"/>
    <w:lvlOverride w:ilvl="6"/>
    <w:lvlOverride w:ilvl="7"/>
    <w:lvlOverride w:ilvl="8"/>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B8"/>
    <w:rsid w:val="00072A12"/>
    <w:rsid w:val="000F68F3"/>
    <w:rsid w:val="00174D98"/>
    <w:rsid w:val="00217CBE"/>
    <w:rsid w:val="00234D5E"/>
    <w:rsid w:val="002E2DB1"/>
    <w:rsid w:val="00314D5E"/>
    <w:rsid w:val="00343FE9"/>
    <w:rsid w:val="00435F70"/>
    <w:rsid w:val="004E283B"/>
    <w:rsid w:val="007426C3"/>
    <w:rsid w:val="0076773F"/>
    <w:rsid w:val="00795619"/>
    <w:rsid w:val="008718B8"/>
    <w:rsid w:val="009622FB"/>
    <w:rsid w:val="00A67E18"/>
    <w:rsid w:val="00AE6708"/>
    <w:rsid w:val="00B13CD7"/>
    <w:rsid w:val="00B336E2"/>
    <w:rsid w:val="00B6113D"/>
    <w:rsid w:val="00BB38F7"/>
    <w:rsid w:val="00BD0C16"/>
    <w:rsid w:val="00BE5824"/>
    <w:rsid w:val="00CB0D91"/>
    <w:rsid w:val="00CE0E30"/>
    <w:rsid w:val="00D27F11"/>
    <w:rsid w:val="00DA4C0F"/>
    <w:rsid w:val="00E07C79"/>
    <w:rsid w:val="00E45378"/>
    <w:rsid w:val="00E97FE2"/>
    <w:rsid w:val="00F9152A"/>
    <w:rsid w:val="00FD5C15"/>
    <w:rsid w:val="00FF11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C484"/>
  <w15:chartTrackingRefBased/>
  <w15:docId w15:val="{6ED23C48-261F-48A5-993B-DF53BD7C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18B8"/>
    <w:pPr>
      <w:ind w:left="720"/>
      <w:contextualSpacing/>
    </w:pPr>
  </w:style>
  <w:style w:type="table" w:styleId="Grilledutableau">
    <w:name w:val="Table Grid"/>
    <w:basedOn w:val="TableauNormal"/>
    <w:uiPriority w:val="39"/>
    <w:rsid w:val="00174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45378"/>
    <w:rPr>
      <w:color w:val="0000FF"/>
      <w:u w:val="single"/>
    </w:rPr>
  </w:style>
  <w:style w:type="character" w:styleId="Mentionnonrsolue">
    <w:name w:val="Unresolved Mention"/>
    <w:basedOn w:val="Policepardfaut"/>
    <w:uiPriority w:val="99"/>
    <w:semiHidden/>
    <w:unhideWhenUsed/>
    <w:rsid w:val="00343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6630">
      <w:bodyDiv w:val="1"/>
      <w:marLeft w:val="0"/>
      <w:marRight w:val="0"/>
      <w:marTop w:val="0"/>
      <w:marBottom w:val="0"/>
      <w:divBdr>
        <w:top w:val="none" w:sz="0" w:space="0" w:color="auto"/>
        <w:left w:val="none" w:sz="0" w:space="0" w:color="auto"/>
        <w:bottom w:val="none" w:sz="0" w:space="0" w:color="auto"/>
        <w:right w:val="none" w:sz="0" w:space="0" w:color="auto"/>
      </w:divBdr>
      <w:divsChild>
        <w:div w:id="1148322772">
          <w:marLeft w:val="547"/>
          <w:marRight w:val="0"/>
          <w:marTop w:val="0"/>
          <w:marBottom w:val="0"/>
          <w:divBdr>
            <w:top w:val="none" w:sz="0" w:space="0" w:color="auto"/>
            <w:left w:val="none" w:sz="0" w:space="0" w:color="auto"/>
            <w:bottom w:val="none" w:sz="0" w:space="0" w:color="auto"/>
            <w:right w:val="none" w:sz="0" w:space="0" w:color="auto"/>
          </w:divBdr>
        </w:div>
        <w:div w:id="568004836">
          <w:marLeft w:val="1987"/>
          <w:marRight w:val="0"/>
          <w:marTop w:val="0"/>
          <w:marBottom w:val="0"/>
          <w:divBdr>
            <w:top w:val="none" w:sz="0" w:space="0" w:color="auto"/>
            <w:left w:val="none" w:sz="0" w:space="0" w:color="auto"/>
            <w:bottom w:val="none" w:sz="0" w:space="0" w:color="auto"/>
            <w:right w:val="none" w:sz="0" w:space="0" w:color="auto"/>
          </w:divBdr>
        </w:div>
        <w:div w:id="221986392">
          <w:marLeft w:val="1987"/>
          <w:marRight w:val="0"/>
          <w:marTop w:val="0"/>
          <w:marBottom w:val="0"/>
          <w:divBdr>
            <w:top w:val="none" w:sz="0" w:space="0" w:color="auto"/>
            <w:left w:val="none" w:sz="0" w:space="0" w:color="auto"/>
            <w:bottom w:val="none" w:sz="0" w:space="0" w:color="auto"/>
            <w:right w:val="none" w:sz="0" w:space="0" w:color="auto"/>
          </w:divBdr>
        </w:div>
        <w:div w:id="1493791172">
          <w:marLeft w:val="547"/>
          <w:marRight w:val="0"/>
          <w:marTop w:val="0"/>
          <w:marBottom w:val="0"/>
          <w:divBdr>
            <w:top w:val="none" w:sz="0" w:space="0" w:color="auto"/>
            <w:left w:val="none" w:sz="0" w:space="0" w:color="auto"/>
            <w:bottom w:val="none" w:sz="0" w:space="0" w:color="auto"/>
            <w:right w:val="none" w:sz="0" w:space="0" w:color="auto"/>
          </w:divBdr>
        </w:div>
        <w:div w:id="1793590105">
          <w:marLeft w:val="1987"/>
          <w:marRight w:val="0"/>
          <w:marTop w:val="0"/>
          <w:marBottom w:val="0"/>
          <w:divBdr>
            <w:top w:val="none" w:sz="0" w:space="0" w:color="auto"/>
            <w:left w:val="none" w:sz="0" w:space="0" w:color="auto"/>
            <w:bottom w:val="none" w:sz="0" w:space="0" w:color="auto"/>
            <w:right w:val="none" w:sz="0" w:space="0" w:color="auto"/>
          </w:divBdr>
        </w:div>
      </w:divsChild>
    </w:div>
    <w:div w:id="658002608">
      <w:bodyDiv w:val="1"/>
      <w:marLeft w:val="0"/>
      <w:marRight w:val="0"/>
      <w:marTop w:val="0"/>
      <w:marBottom w:val="0"/>
      <w:divBdr>
        <w:top w:val="none" w:sz="0" w:space="0" w:color="auto"/>
        <w:left w:val="none" w:sz="0" w:space="0" w:color="auto"/>
        <w:bottom w:val="none" w:sz="0" w:space="0" w:color="auto"/>
        <w:right w:val="none" w:sz="0" w:space="0" w:color="auto"/>
      </w:divBdr>
      <w:divsChild>
        <w:div w:id="351995189">
          <w:marLeft w:val="547"/>
          <w:marRight w:val="0"/>
          <w:marTop w:val="0"/>
          <w:marBottom w:val="0"/>
          <w:divBdr>
            <w:top w:val="none" w:sz="0" w:space="0" w:color="auto"/>
            <w:left w:val="none" w:sz="0" w:space="0" w:color="auto"/>
            <w:bottom w:val="none" w:sz="0" w:space="0" w:color="auto"/>
            <w:right w:val="none" w:sz="0" w:space="0" w:color="auto"/>
          </w:divBdr>
        </w:div>
        <w:div w:id="1061950886">
          <w:marLeft w:val="1987"/>
          <w:marRight w:val="0"/>
          <w:marTop w:val="0"/>
          <w:marBottom w:val="0"/>
          <w:divBdr>
            <w:top w:val="none" w:sz="0" w:space="0" w:color="auto"/>
            <w:left w:val="none" w:sz="0" w:space="0" w:color="auto"/>
            <w:bottom w:val="none" w:sz="0" w:space="0" w:color="auto"/>
            <w:right w:val="none" w:sz="0" w:space="0" w:color="auto"/>
          </w:divBdr>
        </w:div>
        <w:div w:id="1735665523">
          <w:marLeft w:val="1987"/>
          <w:marRight w:val="0"/>
          <w:marTop w:val="0"/>
          <w:marBottom w:val="0"/>
          <w:divBdr>
            <w:top w:val="none" w:sz="0" w:space="0" w:color="auto"/>
            <w:left w:val="none" w:sz="0" w:space="0" w:color="auto"/>
            <w:bottom w:val="none" w:sz="0" w:space="0" w:color="auto"/>
            <w:right w:val="none" w:sz="0" w:space="0" w:color="auto"/>
          </w:divBdr>
        </w:div>
        <w:div w:id="1983457586">
          <w:marLeft w:val="547"/>
          <w:marRight w:val="0"/>
          <w:marTop w:val="0"/>
          <w:marBottom w:val="0"/>
          <w:divBdr>
            <w:top w:val="none" w:sz="0" w:space="0" w:color="auto"/>
            <w:left w:val="none" w:sz="0" w:space="0" w:color="auto"/>
            <w:bottom w:val="none" w:sz="0" w:space="0" w:color="auto"/>
            <w:right w:val="none" w:sz="0" w:space="0" w:color="auto"/>
          </w:divBdr>
        </w:div>
        <w:div w:id="853962496">
          <w:marLeft w:val="1987"/>
          <w:marRight w:val="0"/>
          <w:marTop w:val="0"/>
          <w:marBottom w:val="0"/>
          <w:divBdr>
            <w:top w:val="none" w:sz="0" w:space="0" w:color="auto"/>
            <w:left w:val="none" w:sz="0" w:space="0" w:color="auto"/>
            <w:bottom w:val="none" w:sz="0" w:space="0" w:color="auto"/>
            <w:right w:val="none" w:sz="0" w:space="0" w:color="auto"/>
          </w:divBdr>
        </w:div>
        <w:div w:id="1325086201">
          <w:marLeft w:val="1987"/>
          <w:marRight w:val="0"/>
          <w:marTop w:val="0"/>
          <w:marBottom w:val="0"/>
          <w:divBdr>
            <w:top w:val="none" w:sz="0" w:space="0" w:color="auto"/>
            <w:left w:val="none" w:sz="0" w:space="0" w:color="auto"/>
            <w:bottom w:val="none" w:sz="0" w:space="0" w:color="auto"/>
            <w:right w:val="none" w:sz="0" w:space="0" w:color="auto"/>
          </w:divBdr>
        </w:div>
      </w:divsChild>
    </w:div>
    <w:div w:id="953630900">
      <w:bodyDiv w:val="1"/>
      <w:marLeft w:val="0"/>
      <w:marRight w:val="0"/>
      <w:marTop w:val="0"/>
      <w:marBottom w:val="0"/>
      <w:divBdr>
        <w:top w:val="none" w:sz="0" w:space="0" w:color="auto"/>
        <w:left w:val="none" w:sz="0" w:space="0" w:color="auto"/>
        <w:bottom w:val="none" w:sz="0" w:space="0" w:color="auto"/>
        <w:right w:val="none" w:sz="0" w:space="0" w:color="auto"/>
      </w:divBdr>
      <w:divsChild>
        <w:div w:id="1791896451">
          <w:marLeft w:val="547"/>
          <w:marRight w:val="0"/>
          <w:marTop w:val="0"/>
          <w:marBottom w:val="0"/>
          <w:divBdr>
            <w:top w:val="none" w:sz="0" w:space="0" w:color="auto"/>
            <w:left w:val="none" w:sz="0" w:space="0" w:color="auto"/>
            <w:bottom w:val="none" w:sz="0" w:space="0" w:color="auto"/>
            <w:right w:val="none" w:sz="0" w:space="0" w:color="auto"/>
          </w:divBdr>
        </w:div>
        <w:div w:id="797334019">
          <w:marLeft w:val="1886"/>
          <w:marRight w:val="0"/>
          <w:marTop w:val="0"/>
          <w:marBottom w:val="0"/>
          <w:divBdr>
            <w:top w:val="none" w:sz="0" w:space="0" w:color="auto"/>
            <w:left w:val="none" w:sz="0" w:space="0" w:color="auto"/>
            <w:bottom w:val="none" w:sz="0" w:space="0" w:color="auto"/>
            <w:right w:val="none" w:sz="0" w:space="0" w:color="auto"/>
          </w:divBdr>
        </w:div>
        <w:div w:id="620260504">
          <w:marLeft w:val="1886"/>
          <w:marRight w:val="0"/>
          <w:marTop w:val="0"/>
          <w:marBottom w:val="0"/>
          <w:divBdr>
            <w:top w:val="none" w:sz="0" w:space="0" w:color="auto"/>
            <w:left w:val="none" w:sz="0" w:space="0" w:color="auto"/>
            <w:bottom w:val="none" w:sz="0" w:space="0" w:color="auto"/>
            <w:right w:val="none" w:sz="0" w:space="0" w:color="auto"/>
          </w:divBdr>
        </w:div>
      </w:divsChild>
    </w:div>
    <w:div w:id="1125658780">
      <w:bodyDiv w:val="1"/>
      <w:marLeft w:val="0"/>
      <w:marRight w:val="0"/>
      <w:marTop w:val="0"/>
      <w:marBottom w:val="0"/>
      <w:divBdr>
        <w:top w:val="none" w:sz="0" w:space="0" w:color="auto"/>
        <w:left w:val="none" w:sz="0" w:space="0" w:color="auto"/>
        <w:bottom w:val="none" w:sz="0" w:space="0" w:color="auto"/>
        <w:right w:val="none" w:sz="0" w:space="0" w:color="auto"/>
      </w:divBdr>
      <w:divsChild>
        <w:div w:id="1082331242">
          <w:marLeft w:val="547"/>
          <w:marRight w:val="0"/>
          <w:marTop w:val="0"/>
          <w:marBottom w:val="0"/>
          <w:divBdr>
            <w:top w:val="none" w:sz="0" w:space="0" w:color="auto"/>
            <w:left w:val="none" w:sz="0" w:space="0" w:color="auto"/>
            <w:bottom w:val="none" w:sz="0" w:space="0" w:color="auto"/>
            <w:right w:val="none" w:sz="0" w:space="0" w:color="auto"/>
          </w:divBdr>
        </w:div>
        <w:div w:id="623194240">
          <w:marLeft w:val="547"/>
          <w:marRight w:val="0"/>
          <w:marTop w:val="0"/>
          <w:marBottom w:val="0"/>
          <w:divBdr>
            <w:top w:val="none" w:sz="0" w:space="0" w:color="auto"/>
            <w:left w:val="none" w:sz="0" w:space="0" w:color="auto"/>
            <w:bottom w:val="none" w:sz="0" w:space="0" w:color="auto"/>
            <w:right w:val="none" w:sz="0" w:space="0" w:color="auto"/>
          </w:divBdr>
        </w:div>
      </w:divsChild>
    </w:div>
    <w:div w:id="1138571878">
      <w:bodyDiv w:val="1"/>
      <w:marLeft w:val="0"/>
      <w:marRight w:val="0"/>
      <w:marTop w:val="0"/>
      <w:marBottom w:val="0"/>
      <w:divBdr>
        <w:top w:val="none" w:sz="0" w:space="0" w:color="auto"/>
        <w:left w:val="none" w:sz="0" w:space="0" w:color="auto"/>
        <w:bottom w:val="none" w:sz="0" w:space="0" w:color="auto"/>
        <w:right w:val="none" w:sz="0" w:space="0" w:color="auto"/>
      </w:divBdr>
    </w:div>
    <w:div w:id="1282035510">
      <w:bodyDiv w:val="1"/>
      <w:marLeft w:val="0"/>
      <w:marRight w:val="0"/>
      <w:marTop w:val="0"/>
      <w:marBottom w:val="0"/>
      <w:divBdr>
        <w:top w:val="none" w:sz="0" w:space="0" w:color="auto"/>
        <w:left w:val="none" w:sz="0" w:space="0" w:color="auto"/>
        <w:bottom w:val="none" w:sz="0" w:space="0" w:color="auto"/>
        <w:right w:val="none" w:sz="0" w:space="0" w:color="auto"/>
      </w:divBdr>
    </w:div>
    <w:div w:id="1439914082">
      <w:bodyDiv w:val="1"/>
      <w:marLeft w:val="0"/>
      <w:marRight w:val="0"/>
      <w:marTop w:val="0"/>
      <w:marBottom w:val="0"/>
      <w:divBdr>
        <w:top w:val="none" w:sz="0" w:space="0" w:color="auto"/>
        <w:left w:val="none" w:sz="0" w:space="0" w:color="auto"/>
        <w:bottom w:val="none" w:sz="0" w:space="0" w:color="auto"/>
        <w:right w:val="none" w:sz="0" w:space="0" w:color="auto"/>
      </w:divBdr>
      <w:divsChild>
        <w:div w:id="734932971">
          <w:marLeft w:val="547"/>
          <w:marRight w:val="0"/>
          <w:marTop w:val="0"/>
          <w:marBottom w:val="0"/>
          <w:divBdr>
            <w:top w:val="none" w:sz="0" w:space="0" w:color="auto"/>
            <w:left w:val="none" w:sz="0" w:space="0" w:color="auto"/>
            <w:bottom w:val="none" w:sz="0" w:space="0" w:color="auto"/>
            <w:right w:val="none" w:sz="0" w:space="0" w:color="auto"/>
          </w:divBdr>
        </w:div>
        <w:div w:id="823156646">
          <w:marLeft w:val="1886"/>
          <w:marRight w:val="0"/>
          <w:marTop w:val="0"/>
          <w:marBottom w:val="0"/>
          <w:divBdr>
            <w:top w:val="none" w:sz="0" w:space="0" w:color="auto"/>
            <w:left w:val="none" w:sz="0" w:space="0" w:color="auto"/>
            <w:bottom w:val="none" w:sz="0" w:space="0" w:color="auto"/>
            <w:right w:val="none" w:sz="0" w:space="0" w:color="auto"/>
          </w:divBdr>
        </w:div>
        <w:div w:id="419763611">
          <w:marLeft w:val="1886"/>
          <w:marRight w:val="0"/>
          <w:marTop w:val="0"/>
          <w:marBottom w:val="0"/>
          <w:divBdr>
            <w:top w:val="none" w:sz="0" w:space="0" w:color="auto"/>
            <w:left w:val="none" w:sz="0" w:space="0" w:color="auto"/>
            <w:bottom w:val="none" w:sz="0" w:space="0" w:color="auto"/>
            <w:right w:val="none" w:sz="0" w:space="0" w:color="auto"/>
          </w:divBdr>
        </w:div>
        <w:div w:id="348606166">
          <w:marLeft w:val="1886"/>
          <w:marRight w:val="0"/>
          <w:marTop w:val="0"/>
          <w:marBottom w:val="0"/>
          <w:divBdr>
            <w:top w:val="none" w:sz="0" w:space="0" w:color="auto"/>
            <w:left w:val="none" w:sz="0" w:space="0" w:color="auto"/>
            <w:bottom w:val="none" w:sz="0" w:space="0" w:color="auto"/>
            <w:right w:val="none" w:sz="0" w:space="0" w:color="auto"/>
          </w:divBdr>
        </w:div>
        <w:div w:id="1421488587">
          <w:marLeft w:val="547"/>
          <w:marRight w:val="0"/>
          <w:marTop w:val="0"/>
          <w:marBottom w:val="0"/>
          <w:divBdr>
            <w:top w:val="none" w:sz="0" w:space="0" w:color="auto"/>
            <w:left w:val="none" w:sz="0" w:space="0" w:color="auto"/>
            <w:bottom w:val="none" w:sz="0" w:space="0" w:color="auto"/>
            <w:right w:val="none" w:sz="0" w:space="0" w:color="auto"/>
          </w:divBdr>
        </w:div>
      </w:divsChild>
    </w:div>
    <w:div w:id="1802528365">
      <w:bodyDiv w:val="1"/>
      <w:marLeft w:val="0"/>
      <w:marRight w:val="0"/>
      <w:marTop w:val="0"/>
      <w:marBottom w:val="0"/>
      <w:divBdr>
        <w:top w:val="none" w:sz="0" w:space="0" w:color="auto"/>
        <w:left w:val="none" w:sz="0" w:space="0" w:color="auto"/>
        <w:bottom w:val="none" w:sz="0" w:space="0" w:color="auto"/>
        <w:right w:val="none" w:sz="0" w:space="0" w:color="auto"/>
      </w:divBdr>
    </w:div>
    <w:div w:id="2070809535">
      <w:bodyDiv w:val="1"/>
      <w:marLeft w:val="0"/>
      <w:marRight w:val="0"/>
      <w:marTop w:val="0"/>
      <w:marBottom w:val="0"/>
      <w:divBdr>
        <w:top w:val="none" w:sz="0" w:space="0" w:color="auto"/>
        <w:left w:val="none" w:sz="0" w:space="0" w:color="auto"/>
        <w:bottom w:val="none" w:sz="0" w:space="0" w:color="auto"/>
        <w:right w:val="none" w:sz="0" w:space="0" w:color="auto"/>
      </w:divBdr>
      <w:divsChild>
        <w:div w:id="1609435149">
          <w:marLeft w:val="547"/>
          <w:marRight w:val="0"/>
          <w:marTop w:val="0"/>
          <w:marBottom w:val="0"/>
          <w:divBdr>
            <w:top w:val="none" w:sz="0" w:space="0" w:color="auto"/>
            <w:left w:val="none" w:sz="0" w:space="0" w:color="auto"/>
            <w:bottom w:val="none" w:sz="0" w:space="0" w:color="auto"/>
            <w:right w:val="none" w:sz="0" w:space="0" w:color="auto"/>
          </w:divBdr>
        </w:div>
        <w:div w:id="1363705568">
          <w:marLeft w:val="1886"/>
          <w:marRight w:val="0"/>
          <w:marTop w:val="0"/>
          <w:marBottom w:val="0"/>
          <w:divBdr>
            <w:top w:val="none" w:sz="0" w:space="0" w:color="auto"/>
            <w:left w:val="none" w:sz="0" w:space="0" w:color="auto"/>
            <w:bottom w:val="none" w:sz="0" w:space="0" w:color="auto"/>
            <w:right w:val="none" w:sz="0" w:space="0" w:color="auto"/>
          </w:divBdr>
        </w:div>
        <w:div w:id="758595673">
          <w:marLeft w:val="1886"/>
          <w:marRight w:val="0"/>
          <w:marTop w:val="0"/>
          <w:marBottom w:val="0"/>
          <w:divBdr>
            <w:top w:val="none" w:sz="0" w:space="0" w:color="auto"/>
            <w:left w:val="none" w:sz="0" w:space="0" w:color="auto"/>
            <w:bottom w:val="none" w:sz="0" w:space="0" w:color="auto"/>
            <w:right w:val="none" w:sz="0" w:space="0" w:color="auto"/>
          </w:divBdr>
        </w:div>
        <w:div w:id="969938538">
          <w:marLeft w:val="1886"/>
          <w:marRight w:val="0"/>
          <w:marTop w:val="0"/>
          <w:marBottom w:val="0"/>
          <w:divBdr>
            <w:top w:val="none" w:sz="0" w:space="0" w:color="auto"/>
            <w:left w:val="none" w:sz="0" w:space="0" w:color="auto"/>
            <w:bottom w:val="none" w:sz="0" w:space="0" w:color="auto"/>
            <w:right w:val="none" w:sz="0" w:space="0" w:color="auto"/>
          </w:divBdr>
        </w:div>
        <w:div w:id="751396793">
          <w:marLeft w:val="1886"/>
          <w:marRight w:val="0"/>
          <w:marTop w:val="0"/>
          <w:marBottom w:val="0"/>
          <w:divBdr>
            <w:top w:val="none" w:sz="0" w:space="0" w:color="auto"/>
            <w:left w:val="none" w:sz="0" w:space="0" w:color="auto"/>
            <w:bottom w:val="none" w:sz="0" w:space="0" w:color="auto"/>
            <w:right w:val="none" w:sz="0" w:space="0" w:color="auto"/>
          </w:divBdr>
        </w:div>
        <w:div w:id="1443643418">
          <w:marLeft w:val="547"/>
          <w:marRight w:val="0"/>
          <w:marTop w:val="0"/>
          <w:marBottom w:val="0"/>
          <w:divBdr>
            <w:top w:val="none" w:sz="0" w:space="0" w:color="auto"/>
            <w:left w:val="none" w:sz="0" w:space="0" w:color="auto"/>
            <w:bottom w:val="none" w:sz="0" w:space="0" w:color="auto"/>
            <w:right w:val="none" w:sz="0" w:space="0" w:color="auto"/>
          </w:divBdr>
        </w:div>
        <w:div w:id="699429579">
          <w:marLeft w:val="1987"/>
          <w:marRight w:val="0"/>
          <w:marTop w:val="0"/>
          <w:marBottom w:val="0"/>
          <w:divBdr>
            <w:top w:val="none" w:sz="0" w:space="0" w:color="auto"/>
            <w:left w:val="none" w:sz="0" w:space="0" w:color="auto"/>
            <w:bottom w:val="none" w:sz="0" w:space="0" w:color="auto"/>
            <w:right w:val="none" w:sz="0" w:space="0" w:color="auto"/>
          </w:divBdr>
        </w:div>
      </w:divsChild>
    </w:div>
    <w:div w:id="2132741243">
      <w:bodyDiv w:val="1"/>
      <w:marLeft w:val="0"/>
      <w:marRight w:val="0"/>
      <w:marTop w:val="0"/>
      <w:marBottom w:val="0"/>
      <w:divBdr>
        <w:top w:val="none" w:sz="0" w:space="0" w:color="auto"/>
        <w:left w:val="none" w:sz="0" w:space="0" w:color="auto"/>
        <w:bottom w:val="none" w:sz="0" w:space="0" w:color="auto"/>
        <w:right w:val="none" w:sz="0" w:space="0" w:color="auto"/>
      </w:divBdr>
      <w:divsChild>
        <w:div w:id="1512599539">
          <w:marLeft w:val="547"/>
          <w:marRight w:val="0"/>
          <w:marTop w:val="0"/>
          <w:marBottom w:val="0"/>
          <w:divBdr>
            <w:top w:val="none" w:sz="0" w:space="0" w:color="auto"/>
            <w:left w:val="none" w:sz="0" w:space="0" w:color="auto"/>
            <w:bottom w:val="none" w:sz="0" w:space="0" w:color="auto"/>
            <w:right w:val="none" w:sz="0" w:space="0" w:color="auto"/>
          </w:divBdr>
        </w:div>
        <w:div w:id="1490319448">
          <w:marLeft w:val="1886"/>
          <w:marRight w:val="0"/>
          <w:marTop w:val="0"/>
          <w:marBottom w:val="0"/>
          <w:divBdr>
            <w:top w:val="none" w:sz="0" w:space="0" w:color="auto"/>
            <w:left w:val="none" w:sz="0" w:space="0" w:color="auto"/>
            <w:bottom w:val="none" w:sz="0" w:space="0" w:color="auto"/>
            <w:right w:val="none" w:sz="0" w:space="0" w:color="auto"/>
          </w:divBdr>
        </w:div>
        <w:div w:id="208886057">
          <w:marLeft w:val="1886"/>
          <w:marRight w:val="0"/>
          <w:marTop w:val="0"/>
          <w:marBottom w:val="0"/>
          <w:divBdr>
            <w:top w:val="none" w:sz="0" w:space="0" w:color="auto"/>
            <w:left w:val="none" w:sz="0" w:space="0" w:color="auto"/>
            <w:bottom w:val="none" w:sz="0" w:space="0" w:color="auto"/>
            <w:right w:val="none" w:sz="0" w:space="0" w:color="auto"/>
          </w:divBdr>
        </w:div>
        <w:div w:id="434057316">
          <w:marLeft w:val="1886"/>
          <w:marRight w:val="0"/>
          <w:marTop w:val="0"/>
          <w:marBottom w:val="0"/>
          <w:divBdr>
            <w:top w:val="none" w:sz="0" w:space="0" w:color="auto"/>
            <w:left w:val="none" w:sz="0" w:space="0" w:color="auto"/>
            <w:bottom w:val="none" w:sz="0" w:space="0" w:color="auto"/>
            <w:right w:val="none" w:sz="0" w:space="0" w:color="auto"/>
          </w:divBdr>
        </w:div>
        <w:div w:id="17630665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emf"/><Relationship Id="rId5" Type="http://schemas.openxmlformats.org/officeDocument/2006/relationships/image" Target="media/image1.jpeg"/><Relationship Id="rId15" Type="http://schemas.openxmlformats.org/officeDocument/2006/relationships/hyperlink" Target="mailto:laure.wattinne@normandie.fr"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cid:image001.jpg@01D74C9A.C739FDA0" TargetMode="External"/><Relationship Id="rId14" Type="http://schemas.openxmlformats.org/officeDocument/2006/relationships/image" Target="cid:image002.png@01D74C9A.C739FDA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3</Pages>
  <Words>1181</Words>
  <Characters>6499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BRETEAU Vincent</dc:creator>
  <cp:keywords/>
  <dc:description/>
  <cp:lastModifiedBy>WATTINNE Laure</cp:lastModifiedBy>
  <cp:revision>13</cp:revision>
  <dcterms:created xsi:type="dcterms:W3CDTF">2021-05-28T07:20:00Z</dcterms:created>
  <dcterms:modified xsi:type="dcterms:W3CDTF">2021-10-14T15:13:00Z</dcterms:modified>
</cp:coreProperties>
</file>