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EA" w:rsidRDefault="00605E0E" w:rsidP="00023E18">
      <w:pPr>
        <w:pStyle w:val="Sous-titre"/>
      </w:pPr>
      <w:bookmarkStart w:id="0" w:name="_Hlk82702775"/>
      <w:bookmarkStart w:id="1" w:name="_GoBack"/>
      <w:r>
        <w:rPr>
          <w:noProof/>
          <w:lang w:eastAsia="fr-FR"/>
        </w:rPr>
        <w:t xml:space="preserve">       </w:t>
      </w:r>
      <w:r w:rsidR="00C2346B">
        <w:rPr>
          <w:noProof/>
          <w:lang w:eastAsia="fr-FR"/>
        </w:rPr>
        <w:drawing>
          <wp:inline distT="0" distB="0" distL="0" distR="0" wp14:anchorId="75DAF3DB">
            <wp:extent cx="5771515" cy="5524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p w:rsidR="005C41C7" w:rsidRDefault="005C41C7" w:rsidP="005C41C7">
      <w:pPr>
        <w:pStyle w:val="Sansinterligne"/>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346B" w:rsidTr="00657C54">
        <w:tc>
          <w:tcPr>
            <w:tcW w:w="4531" w:type="dxa"/>
          </w:tcPr>
          <w:p w:rsidR="00C2346B" w:rsidRDefault="00C2346B" w:rsidP="00657C54">
            <w:pPr>
              <w:pStyle w:val="Sansinterligne"/>
              <w:jc w:val="center"/>
              <w:rPr>
                <w:b/>
              </w:rPr>
            </w:pPr>
            <w:r>
              <w:rPr>
                <w:b/>
                <w:noProof/>
                <w:lang w:eastAsia="fr-FR"/>
              </w:rPr>
              <w:drawing>
                <wp:inline distT="0" distB="0" distL="0" distR="0" wp14:anchorId="130BA9D9" wp14:editId="417FAF84">
                  <wp:extent cx="865505" cy="865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inline>
              </w:drawing>
            </w:r>
          </w:p>
        </w:tc>
        <w:tc>
          <w:tcPr>
            <w:tcW w:w="4531" w:type="dxa"/>
          </w:tcPr>
          <w:p w:rsidR="00C2346B" w:rsidRDefault="00C2346B" w:rsidP="00657C54">
            <w:pPr>
              <w:pStyle w:val="Sansinterligne"/>
              <w:jc w:val="center"/>
              <w:rPr>
                <w:b/>
              </w:rPr>
            </w:pPr>
            <w:r>
              <w:rPr>
                <w:b/>
                <w:noProof/>
                <w:lang w:eastAsia="fr-FR"/>
              </w:rPr>
              <w:drawing>
                <wp:inline distT="0" distB="0" distL="0" distR="0" wp14:anchorId="5A7D31F2" wp14:editId="0FF1E656">
                  <wp:extent cx="1085215" cy="1024255"/>
                  <wp:effectExtent l="0" t="0" r="63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24255"/>
                          </a:xfrm>
                          <a:prstGeom prst="rect">
                            <a:avLst/>
                          </a:prstGeom>
                          <a:noFill/>
                        </pic:spPr>
                      </pic:pic>
                    </a:graphicData>
                  </a:graphic>
                </wp:inline>
              </w:drawing>
            </w:r>
          </w:p>
        </w:tc>
      </w:tr>
    </w:tbl>
    <w:p w:rsidR="00C2346B" w:rsidRDefault="00C2346B" w:rsidP="005C41C7">
      <w:pPr>
        <w:pStyle w:val="Sansinterligne"/>
        <w:rPr>
          <w:b/>
        </w:rPr>
      </w:pPr>
    </w:p>
    <w:p w:rsidR="00C2346B" w:rsidRDefault="00C2346B" w:rsidP="005C41C7">
      <w:pPr>
        <w:pStyle w:val="Sansinterligne"/>
        <w:rPr>
          <w:b/>
        </w:rPr>
      </w:pPr>
    </w:p>
    <w:p w:rsidR="00C2346B" w:rsidRDefault="00C2346B" w:rsidP="005C41C7">
      <w:pPr>
        <w:pStyle w:val="Sansinterligne"/>
        <w:rPr>
          <w:b/>
        </w:rPr>
      </w:pPr>
    </w:p>
    <w:p w:rsidR="005C41C7" w:rsidRDefault="00C2346B" w:rsidP="00C2346B">
      <w:pPr>
        <w:pStyle w:val="Sansinterligne"/>
        <w:jc w:val="right"/>
        <w:rPr>
          <w:rFonts w:ascii="Arial" w:hAnsi="Arial" w:cs="Arial"/>
        </w:rPr>
      </w:pPr>
      <w:r w:rsidRPr="00C2346B">
        <w:rPr>
          <w:rFonts w:ascii="Arial" w:hAnsi="Arial" w:cs="Arial"/>
        </w:rPr>
        <w:t>Le 21 septembre 2021</w:t>
      </w:r>
    </w:p>
    <w:p w:rsidR="00C2346B" w:rsidRPr="00C2346B" w:rsidRDefault="00C2346B" w:rsidP="00C2346B">
      <w:pPr>
        <w:pStyle w:val="Sansinterligne"/>
        <w:jc w:val="right"/>
        <w:rPr>
          <w:rFonts w:ascii="Arial" w:hAnsi="Arial" w:cs="Arial"/>
        </w:rPr>
      </w:pPr>
    </w:p>
    <w:p w:rsidR="005C41C7" w:rsidRPr="00C2346B" w:rsidRDefault="005C41C7" w:rsidP="00C2346B">
      <w:pPr>
        <w:pStyle w:val="Sansinterligne"/>
        <w:jc w:val="both"/>
        <w:rPr>
          <w:rFonts w:ascii="Arial" w:hAnsi="Arial" w:cs="Arial"/>
          <w:b/>
        </w:rPr>
      </w:pPr>
    </w:p>
    <w:p w:rsidR="00F34D1D" w:rsidRPr="00C2346B" w:rsidRDefault="00C2346B" w:rsidP="00C2346B">
      <w:pPr>
        <w:pStyle w:val="Sansinterligne"/>
        <w:tabs>
          <w:tab w:val="left" w:pos="7800"/>
        </w:tabs>
        <w:jc w:val="both"/>
        <w:rPr>
          <w:rFonts w:ascii="Arial" w:hAnsi="Arial" w:cs="Arial"/>
          <w:b/>
          <w:sz w:val="28"/>
        </w:rPr>
      </w:pPr>
      <w:r w:rsidRPr="00C2346B">
        <w:rPr>
          <w:rFonts w:ascii="Arial" w:hAnsi="Arial" w:cs="Arial"/>
          <w:b/>
          <w:sz w:val="28"/>
        </w:rPr>
        <w:t>L</w:t>
      </w:r>
      <w:r w:rsidR="004C4FB5" w:rsidRPr="00C2346B">
        <w:rPr>
          <w:rFonts w:ascii="Arial" w:hAnsi="Arial" w:cs="Arial"/>
          <w:b/>
          <w:sz w:val="28"/>
        </w:rPr>
        <w:t>a Région Normandie et le CNRS</w:t>
      </w:r>
      <w:r w:rsidRPr="00C2346B">
        <w:rPr>
          <w:rFonts w:ascii="Arial" w:hAnsi="Arial" w:cs="Arial"/>
          <w:b/>
          <w:sz w:val="28"/>
        </w:rPr>
        <w:t xml:space="preserve"> s’associent pour favoriser le développement de la recherche et de l’innovation en Normandie</w:t>
      </w:r>
    </w:p>
    <w:p w:rsidR="004C4FB5" w:rsidRPr="00C2346B" w:rsidRDefault="004C4FB5" w:rsidP="00C2346B">
      <w:pPr>
        <w:pStyle w:val="Sansinterligne"/>
        <w:jc w:val="both"/>
        <w:rPr>
          <w:rFonts w:ascii="Arial" w:hAnsi="Arial" w:cs="Arial"/>
        </w:rPr>
      </w:pPr>
    </w:p>
    <w:p w:rsidR="00C2346B" w:rsidRDefault="004C4FB5" w:rsidP="00C2346B">
      <w:pPr>
        <w:pStyle w:val="Sansinterligne"/>
        <w:jc w:val="both"/>
        <w:rPr>
          <w:rFonts w:ascii="Arial" w:hAnsi="Arial" w:cs="Arial"/>
          <w:b/>
        </w:rPr>
      </w:pPr>
      <w:r w:rsidRPr="00C2346B">
        <w:rPr>
          <w:rFonts w:ascii="Arial" w:hAnsi="Arial" w:cs="Arial"/>
          <w:b/>
        </w:rPr>
        <w:t xml:space="preserve">Hervé Morin, </w:t>
      </w:r>
      <w:r w:rsidR="00C2346B" w:rsidRPr="00C2346B">
        <w:rPr>
          <w:rFonts w:ascii="Arial" w:hAnsi="Arial" w:cs="Arial"/>
          <w:b/>
        </w:rPr>
        <w:t>Président de la Région Normandie,</w:t>
      </w:r>
      <w:r w:rsidRPr="00C2346B">
        <w:rPr>
          <w:rFonts w:ascii="Arial" w:hAnsi="Arial" w:cs="Arial"/>
          <w:b/>
        </w:rPr>
        <w:t xml:space="preserve"> et Antoine Petit, </w:t>
      </w:r>
      <w:r w:rsidR="00C2346B" w:rsidRPr="00C2346B">
        <w:rPr>
          <w:rFonts w:ascii="Arial" w:hAnsi="Arial" w:cs="Arial"/>
          <w:b/>
        </w:rPr>
        <w:t>P</w:t>
      </w:r>
      <w:r w:rsidRPr="00C2346B">
        <w:rPr>
          <w:rFonts w:ascii="Arial" w:hAnsi="Arial" w:cs="Arial"/>
          <w:b/>
        </w:rPr>
        <w:t xml:space="preserve">résident-directeur général du CNRS, </w:t>
      </w:r>
      <w:r w:rsidR="00C2346B" w:rsidRPr="00C2346B">
        <w:rPr>
          <w:rFonts w:ascii="Arial" w:hAnsi="Arial" w:cs="Arial"/>
          <w:b/>
        </w:rPr>
        <w:t xml:space="preserve">ont officiellement signé ce matin, à l’Abbaye-aux-Dames à Caen, </w:t>
      </w:r>
      <w:r w:rsidRPr="00C2346B">
        <w:rPr>
          <w:rFonts w:ascii="Arial" w:hAnsi="Arial" w:cs="Arial"/>
          <w:b/>
        </w:rPr>
        <w:t>un protocole de coopération</w:t>
      </w:r>
      <w:r w:rsidR="00C2346B" w:rsidRPr="00C2346B">
        <w:rPr>
          <w:rFonts w:ascii="Arial" w:hAnsi="Arial" w:cs="Arial"/>
          <w:b/>
        </w:rPr>
        <w:t xml:space="preserve"> en vue de </w:t>
      </w:r>
      <w:r w:rsidRPr="00C2346B">
        <w:rPr>
          <w:rFonts w:ascii="Arial" w:hAnsi="Arial" w:cs="Arial"/>
          <w:b/>
        </w:rPr>
        <w:t xml:space="preserve">soutenir et renforcer les capacités de recherche et d’innovation sur le territoire </w:t>
      </w:r>
      <w:r w:rsidR="00C2346B" w:rsidRPr="00C2346B">
        <w:rPr>
          <w:rFonts w:ascii="Arial" w:hAnsi="Arial" w:cs="Arial"/>
          <w:b/>
        </w:rPr>
        <w:t>normand.</w:t>
      </w:r>
    </w:p>
    <w:p w:rsidR="007732A7" w:rsidRDefault="007732A7" w:rsidP="007732A7">
      <w:pPr>
        <w:rPr>
          <w:rFonts w:cs="Arial"/>
        </w:rPr>
      </w:pPr>
      <w:r w:rsidRPr="007732A7">
        <w:rPr>
          <w:rFonts w:cs="Arial"/>
          <w:i/>
        </w:rPr>
        <w:t>« Ce protocole de coopération avec le CNRS formalise notre volonté commune de favoriser développement de la recherche et de l’innovation en Normandie. Il s’agit d’allier la stratégie nationale du CNRS avec les atouts et enjeux de notre territoire »</w:t>
      </w:r>
      <w:r w:rsidRPr="007732A7">
        <w:rPr>
          <w:rFonts w:cs="Arial"/>
        </w:rPr>
        <w:t xml:space="preserve"> a déclaré Hervé Morin, Président de la Région Normandie. </w:t>
      </w:r>
    </w:p>
    <w:p w:rsidR="00875CC1" w:rsidRPr="00875CC1" w:rsidRDefault="00875CC1" w:rsidP="007732A7">
      <w:pPr>
        <w:rPr>
          <w:rFonts w:cs="Arial"/>
          <w:i/>
        </w:rPr>
      </w:pPr>
      <w:r w:rsidRPr="00875CC1">
        <w:rPr>
          <w:rFonts w:cs="Arial"/>
          <w:i/>
        </w:rPr>
        <w:t>« Ce protocole conforte les actions conjointes existantes et ambitionne d’apporter la force de frappe scientifique nationale et le réseau de coopérations internationales du CNRS sur des sujets au cœur des enjeux du territoire comme l’innovation, la culture scient</w:t>
      </w:r>
      <w:r w:rsidR="00AF4008">
        <w:rPr>
          <w:rFonts w:cs="Arial"/>
          <w:i/>
        </w:rPr>
        <w:t>ifique ou encore l’attractivité</w:t>
      </w:r>
      <w:r w:rsidRPr="00875CC1">
        <w:rPr>
          <w:rFonts w:cs="Arial"/>
          <w:i/>
        </w:rPr>
        <w:t>… »</w:t>
      </w:r>
      <w:r>
        <w:rPr>
          <w:rFonts w:cs="Arial"/>
          <w:i/>
        </w:rPr>
        <w:t xml:space="preserve"> </w:t>
      </w:r>
      <w:r w:rsidRPr="00875CC1">
        <w:rPr>
          <w:rFonts w:cs="Arial"/>
        </w:rPr>
        <w:t>a déclaré Antoine Petit, Président-directeur général du CNRS.</w:t>
      </w:r>
    </w:p>
    <w:p w:rsidR="00001C87" w:rsidRDefault="00001C87" w:rsidP="00001C87">
      <w:pPr>
        <w:pStyle w:val="Sansinterligne"/>
        <w:spacing w:after="120"/>
        <w:jc w:val="both"/>
        <w:rPr>
          <w:rFonts w:ascii="Arial" w:hAnsi="Arial" w:cs="Arial"/>
        </w:rPr>
      </w:pPr>
      <w:r>
        <w:rPr>
          <w:rFonts w:ascii="Arial" w:hAnsi="Arial" w:cs="Arial"/>
        </w:rPr>
        <w:t>Dans le cadre de cet accord de coopération d’une durée d</w:t>
      </w:r>
      <w:r w:rsidR="00217AE1">
        <w:rPr>
          <w:rFonts w:ascii="Arial" w:hAnsi="Arial" w:cs="Arial"/>
        </w:rPr>
        <w:t>e quatre ans, la Région et le C</w:t>
      </w:r>
      <w:r>
        <w:rPr>
          <w:rFonts w:ascii="Arial" w:hAnsi="Arial" w:cs="Arial"/>
        </w:rPr>
        <w:t>N</w:t>
      </w:r>
      <w:r w:rsidR="00217AE1">
        <w:rPr>
          <w:rFonts w:ascii="Arial" w:hAnsi="Arial" w:cs="Arial"/>
        </w:rPr>
        <w:t>R</w:t>
      </w:r>
      <w:r>
        <w:rPr>
          <w:rFonts w:ascii="Arial" w:hAnsi="Arial" w:cs="Arial"/>
        </w:rPr>
        <w:t xml:space="preserve">S s’engagent notamment à :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soutenir</w:t>
      </w:r>
      <w:proofErr w:type="gramEnd"/>
      <w:r w:rsidRPr="00001C87">
        <w:rPr>
          <w:rFonts w:ascii="Arial" w:hAnsi="Arial" w:cs="Arial"/>
          <w:b/>
        </w:rPr>
        <w:t xml:space="preserve"> conjointement des opérations scientifiques expertisée</w:t>
      </w:r>
      <w:r w:rsidR="00C035B8">
        <w:rPr>
          <w:rFonts w:ascii="Arial" w:hAnsi="Arial" w:cs="Arial"/>
          <w:b/>
        </w:rPr>
        <w:t>s</w:t>
      </w:r>
      <w:r w:rsidRPr="00001C87">
        <w:rPr>
          <w:rFonts w:ascii="Arial" w:hAnsi="Arial" w:cs="Arial"/>
          <w:b/>
        </w:rPr>
        <w:t xml:space="preserve"> au niveau national </w:t>
      </w:r>
      <w:r w:rsidRPr="00001C87">
        <w:rPr>
          <w:rFonts w:ascii="Arial" w:hAnsi="Arial" w:cs="Arial"/>
        </w:rPr>
        <w:t xml:space="preserve">; </w:t>
      </w:r>
    </w:p>
    <w:p w:rsidR="00001C87" w:rsidRPr="00001C87" w:rsidRDefault="00001C87" w:rsidP="00001C87">
      <w:pPr>
        <w:pStyle w:val="Sansinterligne"/>
        <w:numPr>
          <w:ilvl w:val="0"/>
          <w:numId w:val="3"/>
        </w:numPr>
        <w:tabs>
          <w:tab w:val="left" w:pos="2295"/>
        </w:tabs>
        <w:spacing w:after="120"/>
        <w:ind w:left="714" w:hanging="357"/>
        <w:jc w:val="both"/>
        <w:rPr>
          <w:rFonts w:ascii="Arial" w:hAnsi="Arial" w:cs="Arial"/>
        </w:rPr>
      </w:pPr>
      <w:r w:rsidRPr="00001C87">
        <w:rPr>
          <w:rFonts w:ascii="Arial" w:hAnsi="Arial" w:cs="Arial"/>
          <w:b/>
        </w:rPr>
        <w:t>promouvoir les projets interdisciplinaires</w:t>
      </w:r>
      <w:r>
        <w:rPr>
          <w:rFonts w:ascii="Arial" w:hAnsi="Arial" w:cs="Arial"/>
        </w:rPr>
        <w:t>,</w:t>
      </w:r>
      <w:r w:rsidRPr="00001C87">
        <w:rPr>
          <w:rFonts w:ascii="Arial" w:hAnsi="Arial" w:cs="Arial"/>
        </w:rPr>
        <w:t xml:space="preserve"> notamment ceux labellisés par le</w:t>
      </w:r>
      <w:r>
        <w:rPr>
          <w:rFonts w:ascii="Arial" w:hAnsi="Arial" w:cs="Arial"/>
        </w:rPr>
        <w:br/>
      </w:r>
      <w:r w:rsidRPr="00001C87">
        <w:rPr>
          <w:rFonts w:ascii="Arial" w:hAnsi="Arial" w:cs="Arial"/>
        </w:rPr>
        <w:t>CNRS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développer</w:t>
      </w:r>
      <w:proofErr w:type="gramEnd"/>
      <w:r w:rsidRPr="00001C87">
        <w:rPr>
          <w:rFonts w:ascii="Arial" w:hAnsi="Arial" w:cs="Arial"/>
          <w:b/>
        </w:rPr>
        <w:t xml:space="preserve"> la diffusion de la culture scientifique, technique et industrielle</w:t>
      </w:r>
      <w:r w:rsidRPr="00001C87">
        <w:rPr>
          <w:rFonts w:ascii="Arial" w:hAnsi="Arial" w:cs="Arial"/>
        </w:rPr>
        <w:t xml:space="preserve"> en organisant ou en participant à des colloques et manifestations scientifiques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favoriser</w:t>
      </w:r>
      <w:proofErr w:type="gramEnd"/>
      <w:r w:rsidRPr="00001C87">
        <w:rPr>
          <w:rFonts w:ascii="Arial" w:hAnsi="Arial" w:cs="Arial"/>
          <w:b/>
        </w:rPr>
        <w:t xml:space="preserve"> la formation pour et par la recherche et viser l’augmentation du nombre de doctorants en Normandie </w:t>
      </w:r>
      <w:r w:rsidRPr="00001C87">
        <w:rPr>
          <w:rFonts w:ascii="Arial" w:hAnsi="Arial" w:cs="Arial"/>
        </w:rPr>
        <w:t>par le biais de financements de contrats doctoraux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encourager</w:t>
      </w:r>
      <w:proofErr w:type="gramEnd"/>
      <w:r w:rsidRPr="00001C87">
        <w:rPr>
          <w:rFonts w:ascii="Arial" w:hAnsi="Arial" w:cs="Arial"/>
          <w:b/>
        </w:rPr>
        <w:t xml:space="preserve"> la mobilité et l’accueil de chercheurs et d’étudiants</w:t>
      </w:r>
      <w:r w:rsidRPr="00001C87">
        <w:rPr>
          <w:rFonts w:ascii="Arial" w:hAnsi="Arial" w:cs="Arial"/>
        </w:rPr>
        <w:t xml:space="preserve"> notamment en lien avec l’écosystème économique local ; </w:t>
      </w:r>
      <w:r w:rsidRPr="00001C87">
        <w:rPr>
          <w:rFonts w:ascii="Arial" w:hAnsi="Arial" w:cs="Arial"/>
          <w:b/>
        </w:rPr>
        <w:t>déployer conjointement une stratégie d’attractivité</w:t>
      </w:r>
      <w:r w:rsidRPr="00001C87">
        <w:rPr>
          <w:rFonts w:ascii="Arial" w:hAnsi="Arial" w:cs="Arial"/>
        </w:rPr>
        <w:t xml:space="preserve"> à destination de chercheurs de talents notamment étrangers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lastRenderedPageBreak/>
        <w:t>conforter</w:t>
      </w:r>
      <w:proofErr w:type="gramEnd"/>
      <w:r w:rsidRPr="00001C87">
        <w:rPr>
          <w:rFonts w:ascii="Arial" w:hAnsi="Arial" w:cs="Arial"/>
          <w:b/>
        </w:rPr>
        <w:t xml:space="preserve"> les implantations et les infrastructures de recherche</w:t>
      </w:r>
      <w:r w:rsidRPr="00001C87">
        <w:rPr>
          <w:rFonts w:ascii="Arial" w:hAnsi="Arial" w:cs="Arial"/>
        </w:rPr>
        <w:t xml:space="preserve"> à forte visibilité dans une logique de partage et d’ouverture à la communauté scientifique ; </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contribuer</w:t>
      </w:r>
      <w:proofErr w:type="gramEnd"/>
      <w:r w:rsidRPr="00001C87">
        <w:rPr>
          <w:rFonts w:ascii="Arial" w:hAnsi="Arial" w:cs="Arial"/>
          <w:b/>
        </w:rPr>
        <w:t xml:space="preserve"> à l’articulation des outils européens, nationaux et régionaux de financement</w:t>
      </w:r>
      <w:r w:rsidRPr="00001C87">
        <w:rPr>
          <w:rFonts w:ascii="Arial" w:hAnsi="Arial" w:cs="Arial"/>
        </w:rPr>
        <w:t xml:space="preserve"> de la recherche et de l’innovation</w:t>
      </w:r>
    </w:p>
    <w:p w:rsidR="00001C87" w:rsidRDefault="00001C87" w:rsidP="00001C87">
      <w:pPr>
        <w:pStyle w:val="Sansinterligne"/>
        <w:numPr>
          <w:ilvl w:val="0"/>
          <w:numId w:val="3"/>
        </w:numPr>
        <w:tabs>
          <w:tab w:val="left" w:pos="2295"/>
        </w:tabs>
        <w:spacing w:after="120"/>
        <w:ind w:left="714" w:hanging="357"/>
        <w:jc w:val="both"/>
        <w:rPr>
          <w:rFonts w:ascii="Arial" w:hAnsi="Arial" w:cs="Arial"/>
        </w:rPr>
      </w:pPr>
      <w:proofErr w:type="gramStart"/>
      <w:r w:rsidRPr="00001C87">
        <w:rPr>
          <w:rFonts w:ascii="Arial" w:hAnsi="Arial" w:cs="Arial"/>
          <w:b/>
        </w:rPr>
        <w:t>renforcer</w:t>
      </w:r>
      <w:proofErr w:type="gramEnd"/>
      <w:r w:rsidRPr="00001C87">
        <w:rPr>
          <w:rFonts w:ascii="Arial" w:hAnsi="Arial" w:cs="Arial"/>
          <w:b/>
        </w:rPr>
        <w:t xml:space="preserve"> le continuum formation, recherche, innovation</w:t>
      </w:r>
      <w:r w:rsidRPr="00001C87">
        <w:rPr>
          <w:rFonts w:ascii="Arial" w:hAnsi="Arial" w:cs="Arial"/>
        </w:rPr>
        <w:t xml:space="preserve"> et </w:t>
      </w:r>
      <w:r w:rsidRPr="00001C87">
        <w:rPr>
          <w:rFonts w:ascii="Arial" w:hAnsi="Arial" w:cs="Arial"/>
          <w:b/>
        </w:rPr>
        <w:t>accompagner la structuration de l’écosystème ESRI</w:t>
      </w:r>
      <w:r w:rsidRPr="00001C87">
        <w:rPr>
          <w:rFonts w:ascii="Arial" w:hAnsi="Arial" w:cs="Arial"/>
        </w:rPr>
        <w:t xml:space="preserve"> normand</w:t>
      </w:r>
      <w:r>
        <w:rPr>
          <w:rFonts w:ascii="Arial" w:hAnsi="Arial" w:cs="Arial"/>
        </w:rPr>
        <w:t xml:space="preserve"> </w:t>
      </w:r>
      <w:r w:rsidRPr="00001C87">
        <w:rPr>
          <w:rFonts w:ascii="Arial" w:hAnsi="Arial" w:cs="Arial"/>
        </w:rPr>
        <w:t>;</w:t>
      </w:r>
    </w:p>
    <w:p w:rsidR="00001C87" w:rsidRDefault="00001C87" w:rsidP="007732A7">
      <w:pPr>
        <w:pStyle w:val="Sansinterligne"/>
        <w:numPr>
          <w:ilvl w:val="0"/>
          <w:numId w:val="3"/>
        </w:numPr>
        <w:tabs>
          <w:tab w:val="left" w:pos="2295"/>
        </w:tabs>
        <w:ind w:left="714" w:hanging="357"/>
        <w:jc w:val="both"/>
        <w:rPr>
          <w:rFonts w:ascii="Arial" w:hAnsi="Arial" w:cs="Arial"/>
        </w:rPr>
      </w:pPr>
      <w:proofErr w:type="gramStart"/>
      <w:r w:rsidRPr="00001C87">
        <w:rPr>
          <w:rFonts w:ascii="Arial" w:hAnsi="Arial" w:cs="Arial"/>
          <w:b/>
        </w:rPr>
        <w:t>poursuivre</w:t>
      </w:r>
      <w:proofErr w:type="gramEnd"/>
      <w:r w:rsidRPr="00001C87">
        <w:rPr>
          <w:rFonts w:ascii="Arial" w:hAnsi="Arial" w:cs="Arial"/>
          <w:b/>
        </w:rPr>
        <w:t xml:space="preserve"> et amplifier les partenariats internationaux</w:t>
      </w:r>
      <w:r w:rsidRPr="00001C87">
        <w:rPr>
          <w:rFonts w:ascii="Arial" w:hAnsi="Arial" w:cs="Arial"/>
        </w:rPr>
        <w:t>.</w:t>
      </w:r>
    </w:p>
    <w:p w:rsidR="007732A7" w:rsidRDefault="007732A7" w:rsidP="007732A7">
      <w:pPr>
        <w:pStyle w:val="Sansinterligne"/>
        <w:tabs>
          <w:tab w:val="left" w:pos="2295"/>
        </w:tabs>
        <w:ind w:left="714"/>
        <w:jc w:val="both"/>
        <w:rPr>
          <w:rFonts w:ascii="Arial" w:hAnsi="Arial" w:cs="Arial"/>
        </w:rPr>
      </w:pPr>
    </w:p>
    <w:p w:rsidR="004C4FB5" w:rsidRPr="00C2346B" w:rsidRDefault="00001C87" w:rsidP="00001C87">
      <w:pPr>
        <w:pStyle w:val="Sansinterligne"/>
        <w:tabs>
          <w:tab w:val="left" w:pos="2295"/>
        </w:tabs>
        <w:spacing w:after="120"/>
        <w:jc w:val="both"/>
        <w:rPr>
          <w:rFonts w:ascii="Arial" w:hAnsi="Arial" w:cs="Arial"/>
        </w:rPr>
      </w:pPr>
      <w:r w:rsidRPr="00001C87">
        <w:rPr>
          <w:rFonts w:ascii="Arial" w:hAnsi="Arial" w:cs="Arial"/>
          <w:b/>
        </w:rPr>
        <w:t>H</w:t>
      </w:r>
      <w:r w:rsidR="004C4FB5" w:rsidRPr="00001C87">
        <w:rPr>
          <w:rFonts w:ascii="Arial" w:hAnsi="Arial" w:cs="Arial"/>
          <w:b/>
        </w:rPr>
        <w:t>uit thématiques</w:t>
      </w:r>
      <w:r w:rsidRPr="00001C87">
        <w:rPr>
          <w:rFonts w:ascii="Arial" w:hAnsi="Arial" w:cs="Arial"/>
          <w:b/>
        </w:rPr>
        <w:t xml:space="preserve"> prioritaires</w:t>
      </w:r>
      <w:r w:rsidR="004C4FB5" w:rsidRPr="00001C87">
        <w:rPr>
          <w:rFonts w:ascii="Arial" w:hAnsi="Arial" w:cs="Arial"/>
          <w:b/>
        </w:rPr>
        <w:t xml:space="preserve"> de recherche, recoupant les intérêts communs du CNRS et de la Région Normandie, ont été définies</w:t>
      </w:r>
      <w:r w:rsidR="004C4FB5" w:rsidRPr="00001C87">
        <w:rPr>
          <w:rFonts w:ascii="Arial" w:hAnsi="Arial" w:cs="Arial"/>
        </w:rPr>
        <w:t>:</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Physique nucléaire fondamentale et applications nucléaires pour l 'énergie et la santé</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 xml:space="preserve">Chimie moléculaire, analyse, catalyse et matériaux </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Transition énergétique et énergies renouvelables</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Gestion intégrée des espaces estuariens (Baie de Seine) et dynamique du littoral</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Algorithmes et intelligence artificielle, mathématiques, science des données, capteurs et instruments</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Transitions numériques en Sciences Humaines et Sociales.</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Mécanique des fluides, écoulements réactifs et multiphasiques, métrologie optique</w:t>
      </w:r>
    </w:p>
    <w:p w:rsidR="004C4FB5" w:rsidRPr="00C2346B" w:rsidRDefault="004C4FB5" w:rsidP="00C2346B">
      <w:pPr>
        <w:pStyle w:val="Sansinterligne"/>
        <w:numPr>
          <w:ilvl w:val="0"/>
          <w:numId w:val="1"/>
        </w:numPr>
        <w:spacing w:after="120"/>
        <w:ind w:left="714" w:hanging="357"/>
        <w:jc w:val="both"/>
        <w:rPr>
          <w:rFonts w:ascii="Arial" w:hAnsi="Arial" w:cs="Arial"/>
        </w:rPr>
      </w:pPr>
      <w:r w:rsidRPr="00C2346B">
        <w:rPr>
          <w:rFonts w:ascii="Arial" w:hAnsi="Arial" w:cs="Arial"/>
        </w:rPr>
        <w:t>Transitions numériques</w:t>
      </w:r>
    </w:p>
    <w:p w:rsidR="00001C87" w:rsidRDefault="00001C87" w:rsidP="00C2346B">
      <w:pPr>
        <w:pStyle w:val="Sansinterligne"/>
        <w:jc w:val="both"/>
        <w:rPr>
          <w:rFonts w:ascii="Arial" w:hAnsi="Arial" w:cs="Arial"/>
        </w:rPr>
      </w:pPr>
    </w:p>
    <w:p w:rsidR="004C04C0" w:rsidRDefault="00FF66B6" w:rsidP="004C04C0">
      <w:pPr>
        <w:pStyle w:val="Sansinterligne"/>
        <w:spacing w:after="120"/>
        <w:jc w:val="both"/>
        <w:rPr>
          <w:rFonts w:ascii="Arial" w:hAnsi="Arial" w:cs="Arial"/>
        </w:rPr>
      </w:pPr>
      <w:r w:rsidRPr="007732A7">
        <w:rPr>
          <w:rFonts w:ascii="Arial" w:hAnsi="Arial" w:cs="Arial"/>
          <w:b/>
        </w:rPr>
        <w:t xml:space="preserve">Des actions spécifiques </w:t>
      </w:r>
      <w:r w:rsidR="004C04C0" w:rsidRPr="007732A7">
        <w:rPr>
          <w:rFonts w:ascii="Arial" w:hAnsi="Arial" w:cs="Arial"/>
          <w:b/>
        </w:rPr>
        <w:t>communes déjà engagées seront, par ailleurs, poursuivies et renforcées</w:t>
      </w:r>
      <w:r w:rsidR="007732A7" w:rsidRPr="007732A7">
        <w:rPr>
          <w:rFonts w:ascii="Arial" w:hAnsi="Arial" w:cs="Arial"/>
        </w:rPr>
        <w:t>,</w:t>
      </w:r>
      <w:r w:rsidR="004C04C0">
        <w:rPr>
          <w:rFonts w:ascii="Arial" w:hAnsi="Arial" w:cs="Arial"/>
        </w:rPr>
        <w:t xml:space="preserve"> dans le cadre de ce partenariat : </w:t>
      </w:r>
    </w:p>
    <w:p w:rsidR="004C04C0" w:rsidRDefault="00001C87" w:rsidP="004C04C0">
      <w:pPr>
        <w:pStyle w:val="Sansinterligne"/>
        <w:numPr>
          <w:ilvl w:val="0"/>
          <w:numId w:val="8"/>
        </w:numPr>
        <w:spacing w:after="120"/>
        <w:ind w:left="714" w:hanging="357"/>
        <w:jc w:val="both"/>
        <w:rPr>
          <w:rFonts w:ascii="Arial" w:hAnsi="Arial" w:cs="Arial"/>
        </w:rPr>
      </w:pPr>
      <w:r w:rsidRPr="007732A7">
        <w:rPr>
          <w:rFonts w:ascii="Arial" w:hAnsi="Arial" w:cs="Arial"/>
          <w:b/>
        </w:rPr>
        <w:t>La chaire d’excellence Normandie pour la Paix</w:t>
      </w:r>
      <w:r w:rsidR="007732A7">
        <w:rPr>
          <w:rFonts w:ascii="Arial" w:hAnsi="Arial" w:cs="Arial"/>
          <w:b/>
        </w:rPr>
        <w:t xml:space="preserve">, </w:t>
      </w:r>
      <w:r w:rsidRPr="004C04C0">
        <w:rPr>
          <w:rFonts w:ascii="Arial" w:hAnsi="Arial" w:cs="Arial"/>
        </w:rPr>
        <w:t>associant étroitement le CNRS avec la Région Normandie et l’Université de Caen</w:t>
      </w:r>
      <w:r w:rsidR="004C04C0" w:rsidRPr="004C04C0">
        <w:rPr>
          <w:rFonts w:ascii="Arial" w:hAnsi="Arial" w:cs="Arial"/>
        </w:rPr>
        <w:t xml:space="preserve"> ; </w:t>
      </w:r>
    </w:p>
    <w:p w:rsidR="004C04C0" w:rsidRDefault="004C04C0" w:rsidP="004C04C0">
      <w:pPr>
        <w:pStyle w:val="Sansinterligne"/>
        <w:numPr>
          <w:ilvl w:val="0"/>
          <w:numId w:val="8"/>
        </w:numPr>
        <w:spacing w:after="120"/>
        <w:ind w:left="714" w:hanging="357"/>
        <w:jc w:val="both"/>
        <w:rPr>
          <w:rFonts w:ascii="Arial" w:hAnsi="Arial" w:cs="Arial"/>
        </w:rPr>
      </w:pPr>
      <w:r w:rsidRPr="007732A7">
        <w:rPr>
          <w:rFonts w:ascii="Arial" w:hAnsi="Arial" w:cs="Arial"/>
          <w:b/>
        </w:rPr>
        <w:t>Le</w:t>
      </w:r>
      <w:r w:rsidR="00001C87" w:rsidRPr="007732A7">
        <w:rPr>
          <w:rFonts w:ascii="Arial" w:hAnsi="Arial" w:cs="Arial"/>
          <w:b/>
        </w:rPr>
        <w:t xml:space="preserve"> consortium </w:t>
      </w:r>
      <w:proofErr w:type="spellStart"/>
      <w:r w:rsidR="00001C87" w:rsidRPr="007732A7">
        <w:rPr>
          <w:rFonts w:ascii="Arial" w:hAnsi="Arial" w:cs="Arial"/>
          <w:b/>
        </w:rPr>
        <w:t>Datalab</w:t>
      </w:r>
      <w:proofErr w:type="spellEnd"/>
      <w:r w:rsidR="00001C87" w:rsidRPr="007732A7">
        <w:rPr>
          <w:rFonts w:ascii="Arial" w:hAnsi="Arial" w:cs="Arial"/>
          <w:b/>
        </w:rPr>
        <w:t xml:space="preserve"> Normandie</w:t>
      </w:r>
      <w:r w:rsidR="00001C87" w:rsidRPr="004C04C0">
        <w:rPr>
          <w:rFonts w:ascii="Arial" w:hAnsi="Arial" w:cs="Arial"/>
        </w:rPr>
        <w:t>, accélérateur de projets Intelligence Artificielle et Données</w:t>
      </w:r>
      <w:r w:rsidR="007732A7">
        <w:rPr>
          <w:rFonts w:ascii="Arial" w:hAnsi="Arial" w:cs="Arial"/>
        </w:rPr>
        <w:t> ;</w:t>
      </w:r>
    </w:p>
    <w:p w:rsidR="007732A7" w:rsidRDefault="00001C87" w:rsidP="007732A7">
      <w:pPr>
        <w:pStyle w:val="Sansinterligne"/>
        <w:numPr>
          <w:ilvl w:val="0"/>
          <w:numId w:val="8"/>
        </w:numPr>
        <w:spacing w:after="120"/>
        <w:ind w:left="714" w:hanging="357"/>
        <w:jc w:val="both"/>
        <w:rPr>
          <w:rFonts w:ascii="Arial" w:hAnsi="Arial" w:cs="Arial"/>
        </w:rPr>
      </w:pPr>
      <w:r w:rsidRPr="007732A7">
        <w:rPr>
          <w:rFonts w:ascii="Arial" w:hAnsi="Arial" w:cs="Arial"/>
          <w:b/>
        </w:rPr>
        <w:t xml:space="preserve">L’acquisition </w:t>
      </w:r>
      <w:r w:rsidR="004C04C0" w:rsidRPr="007732A7">
        <w:rPr>
          <w:rFonts w:ascii="Arial" w:hAnsi="Arial" w:cs="Arial"/>
          <w:b/>
        </w:rPr>
        <w:t xml:space="preserve">en cours </w:t>
      </w:r>
      <w:r w:rsidRPr="007732A7">
        <w:rPr>
          <w:rFonts w:ascii="Arial" w:hAnsi="Arial" w:cs="Arial"/>
          <w:b/>
        </w:rPr>
        <w:t>d’un nouveau spectromètre de masse FTICR équipé d'un aimant supraconducteur 18Tesla, le plus grand jamais installé en Europe.</w:t>
      </w:r>
      <w:r w:rsidRPr="004C04C0">
        <w:rPr>
          <w:rFonts w:ascii="Arial" w:hAnsi="Arial" w:cs="Arial"/>
        </w:rPr>
        <w:t xml:space="preserve"> </w:t>
      </w:r>
    </w:p>
    <w:p w:rsidR="004C04C0" w:rsidRPr="007732A7" w:rsidRDefault="00001C87" w:rsidP="007732A7">
      <w:pPr>
        <w:pStyle w:val="Sansinterligne"/>
        <w:numPr>
          <w:ilvl w:val="0"/>
          <w:numId w:val="8"/>
        </w:numPr>
        <w:spacing w:after="120"/>
        <w:ind w:left="714" w:hanging="357"/>
        <w:jc w:val="both"/>
        <w:rPr>
          <w:rFonts w:ascii="Arial" w:hAnsi="Arial" w:cs="Arial"/>
        </w:rPr>
      </w:pPr>
      <w:r w:rsidRPr="007732A7">
        <w:rPr>
          <w:rFonts w:ascii="Arial" w:hAnsi="Arial" w:cs="Arial"/>
          <w:b/>
        </w:rPr>
        <w:t>Le projet API (Autonomie Pharmaceutique et Industrielle), porté par le laboratoire COBRA UMR 6014 CNRS à Rouen</w:t>
      </w:r>
      <w:r w:rsidR="007732A7">
        <w:rPr>
          <w:rFonts w:ascii="Arial" w:hAnsi="Arial" w:cs="Arial"/>
          <w:b/>
        </w:rPr>
        <w:t>,</w:t>
      </w:r>
      <w:r w:rsidR="007732A7">
        <w:rPr>
          <w:rFonts w:ascii="Arial" w:hAnsi="Arial" w:cs="Arial"/>
        </w:rPr>
        <w:t xml:space="preserve"> qui doit permettre de </w:t>
      </w:r>
      <w:r w:rsidRPr="007732A7">
        <w:rPr>
          <w:rFonts w:ascii="Arial" w:hAnsi="Arial" w:cs="Arial"/>
        </w:rPr>
        <w:t>répondre aux nouveaux défis du champ disciplinaire de chimie organique</w:t>
      </w:r>
      <w:r w:rsidR="007732A7">
        <w:rPr>
          <w:rFonts w:ascii="Arial" w:hAnsi="Arial" w:cs="Arial"/>
        </w:rPr>
        <w:t>,</w:t>
      </w:r>
      <w:r w:rsidRPr="007732A7">
        <w:rPr>
          <w:rFonts w:ascii="Arial" w:hAnsi="Arial" w:cs="Arial"/>
        </w:rPr>
        <w:t xml:space="preserve"> de développer une chimie plus écoresponsable et éco-efficiente et ainsi d’assurer la compétitivité des entreprises normandes et françaises du secteur de la chimie. </w:t>
      </w:r>
    </w:p>
    <w:p w:rsidR="004C04C0" w:rsidRDefault="00001C87" w:rsidP="007732A7">
      <w:pPr>
        <w:pStyle w:val="Sansinterligne"/>
        <w:numPr>
          <w:ilvl w:val="0"/>
          <w:numId w:val="8"/>
        </w:numPr>
        <w:spacing w:after="120"/>
        <w:ind w:left="714" w:hanging="357"/>
        <w:jc w:val="both"/>
        <w:rPr>
          <w:rFonts w:ascii="Arial" w:hAnsi="Arial" w:cs="Arial"/>
        </w:rPr>
      </w:pPr>
      <w:r w:rsidRPr="007732A7">
        <w:rPr>
          <w:rFonts w:ascii="Arial" w:hAnsi="Arial" w:cs="Arial"/>
          <w:b/>
        </w:rPr>
        <w:t xml:space="preserve">Le projet </w:t>
      </w:r>
      <w:proofErr w:type="spellStart"/>
      <w:r w:rsidRPr="007732A7">
        <w:rPr>
          <w:rFonts w:ascii="Arial" w:hAnsi="Arial" w:cs="Arial"/>
          <w:b/>
        </w:rPr>
        <w:t>WINNINGNormandy</w:t>
      </w:r>
      <w:proofErr w:type="spellEnd"/>
      <w:r w:rsidRPr="007732A7">
        <w:rPr>
          <w:rFonts w:ascii="Arial" w:hAnsi="Arial" w:cs="Arial"/>
          <w:b/>
        </w:rPr>
        <w:t xml:space="preserve"> – </w:t>
      </w:r>
      <w:proofErr w:type="spellStart"/>
      <w:r w:rsidRPr="007732A7">
        <w:rPr>
          <w:rFonts w:ascii="Arial" w:hAnsi="Arial" w:cs="Arial"/>
          <w:b/>
        </w:rPr>
        <w:t>WelcomINg</w:t>
      </w:r>
      <w:proofErr w:type="spellEnd"/>
      <w:r w:rsidRPr="007732A7">
        <w:rPr>
          <w:rFonts w:ascii="Arial" w:hAnsi="Arial" w:cs="Arial"/>
          <w:b/>
        </w:rPr>
        <w:t xml:space="preserve"> and </w:t>
      </w:r>
      <w:proofErr w:type="spellStart"/>
      <w:r w:rsidRPr="007732A7">
        <w:rPr>
          <w:rFonts w:ascii="Arial" w:hAnsi="Arial" w:cs="Arial"/>
          <w:b/>
        </w:rPr>
        <w:t>TraiNING</w:t>
      </w:r>
      <w:proofErr w:type="spellEnd"/>
      <w:r w:rsidRPr="007732A7">
        <w:rPr>
          <w:rFonts w:ascii="Arial" w:hAnsi="Arial" w:cs="Arial"/>
          <w:b/>
        </w:rPr>
        <w:t xml:space="preserve"> of international high-</w:t>
      </w:r>
      <w:proofErr w:type="spellStart"/>
      <w:r w:rsidRPr="007732A7">
        <w:rPr>
          <w:rFonts w:ascii="Arial" w:hAnsi="Arial" w:cs="Arial"/>
          <w:b/>
        </w:rPr>
        <w:t>level</w:t>
      </w:r>
      <w:proofErr w:type="spellEnd"/>
      <w:r w:rsidRPr="007732A7">
        <w:rPr>
          <w:rFonts w:ascii="Arial" w:hAnsi="Arial" w:cs="Arial"/>
          <w:b/>
        </w:rPr>
        <w:t xml:space="preserve"> post-docs in Normandy</w:t>
      </w:r>
      <w:r w:rsidR="004C04C0" w:rsidRPr="004C04C0">
        <w:rPr>
          <w:rFonts w:ascii="Arial" w:hAnsi="Arial" w:cs="Arial"/>
        </w:rPr>
        <w:t xml:space="preserve">, </w:t>
      </w:r>
      <w:r w:rsidRPr="004C04C0">
        <w:rPr>
          <w:rFonts w:ascii="Arial" w:hAnsi="Arial" w:cs="Arial"/>
        </w:rPr>
        <w:t>coordonné par la Région Normandie, déposé en partenariat avec la COMUE Normandie Université et le CNRS. Le projet a été labellisé dans le cadre des actions Marie Sklodowska-Curie du programme H2020</w:t>
      </w:r>
      <w:r w:rsidR="004C04C0" w:rsidRPr="004C04C0">
        <w:rPr>
          <w:rFonts w:ascii="Arial" w:hAnsi="Arial" w:cs="Arial"/>
        </w:rPr>
        <w:t xml:space="preserve">. </w:t>
      </w:r>
      <w:r w:rsidR="00FE7183">
        <w:rPr>
          <w:rFonts w:ascii="Arial" w:hAnsi="Arial" w:cs="Arial"/>
        </w:rPr>
        <w:t xml:space="preserve">Il </w:t>
      </w:r>
      <w:r w:rsidRPr="004C04C0">
        <w:rPr>
          <w:rFonts w:ascii="Arial" w:hAnsi="Arial" w:cs="Arial"/>
        </w:rPr>
        <w:t>a pour objectif de promouvoir des carrières de recherche attractives en Normandie en France en finançant des formations individuelles à la recherche et des opportunités de carrière pour les chercheurs expérimentés c'est-à-dire les post-doctorants</w:t>
      </w:r>
      <w:r w:rsidR="007732A7">
        <w:rPr>
          <w:rFonts w:ascii="Arial" w:hAnsi="Arial" w:cs="Arial"/>
        </w:rPr>
        <w:t> ;</w:t>
      </w:r>
    </w:p>
    <w:p w:rsidR="00001C87" w:rsidRPr="004C04C0" w:rsidRDefault="004C04C0" w:rsidP="004C04C0">
      <w:pPr>
        <w:pStyle w:val="Sansinterligne"/>
        <w:numPr>
          <w:ilvl w:val="0"/>
          <w:numId w:val="8"/>
        </w:numPr>
        <w:jc w:val="both"/>
        <w:rPr>
          <w:rFonts w:ascii="Arial" w:hAnsi="Arial" w:cs="Arial"/>
        </w:rPr>
      </w:pPr>
      <w:r w:rsidRPr="007732A7">
        <w:rPr>
          <w:rFonts w:ascii="Arial" w:hAnsi="Arial" w:cs="Arial"/>
          <w:b/>
        </w:rPr>
        <w:t xml:space="preserve">Le financement </w:t>
      </w:r>
      <w:r w:rsidR="00001C87" w:rsidRPr="007732A7">
        <w:rPr>
          <w:rFonts w:ascii="Arial" w:hAnsi="Arial" w:cs="Arial"/>
          <w:b/>
        </w:rPr>
        <w:t xml:space="preserve">conjoint des allocations doctorales </w:t>
      </w:r>
      <w:r w:rsidRPr="007732A7">
        <w:rPr>
          <w:rFonts w:ascii="Arial" w:hAnsi="Arial" w:cs="Arial"/>
          <w:b/>
        </w:rPr>
        <w:t>et la mise en place</w:t>
      </w:r>
      <w:r w:rsidR="00001C87" w:rsidRPr="007732A7">
        <w:rPr>
          <w:rFonts w:ascii="Arial" w:hAnsi="Arial" w:cs="Arial"/>
          <w:b/>
        </w:rPr>
        <w:t xml:space="preserve"> d</w:t>
      </w:r>
      <w:r w:rsidRPr="007732A7">
        <w:rPr>
          <w:rFonts w:ascii="Arial" w:hAnsi="Arial" w:cs="Arial"/>
          <w:b/>
        </w:rPr>
        <w:t>’action</w:t>
      </w:r>
      <w:r w:rsidR="007732A7">
        <w:rPr>
          <w:rFonts w:ascii="Arial" w:hAnsi="Arial" w:cs="Arial"/>
          <w:b/>
        </w:rPr>
        <w:t>s</w:t>
      </w:r>
      <w:r w:rsidRPr="007732A7">
        <w:rPr>
          <w:rFonts w:ascii="Arial" w:hAnsi="Arial" w:cs="Arial"/>
          <w:b/>
        </w:rPr>
        <w:t xml:space="preserve"> </w:t>
      </w:r>
      <w:r w:rsidR="00001C87" w:rsidRPr="007732A7">
        <w:rPr>
          <w:rFonts w:ascii="Arial" w:hAnsi="Arial" w:cs="Arial"/>
          <w:b/>
        </w:rPr>
        <w:t xml:space="preserve">pour augmenter le nombre de doctorants sur le territoire normand. </w:t>
      </w:r>
      <w:r w:rsidR="00001C87" w:rsidRPr="004C04C0">
        <w:rPr>
          <w:rFonts w:ascii="Arial" w:hAnsi="Arial" w:cs="Arial"/>
        </w:rPr>
        <w:t xml:space="preserve">Depuis 2017, plus de 20 thèses ont pu être co-financées par la Région et le CNRS. </w:t>
      </w:r>
    </w:p>
    <w:p w:rsidR="00001C87" w:rsidRDefault="00001C87" w:rsidP="00C2346B">
      <w:pPr>
        <w:pStyle w:val="Sansinterligne"/>
        <w:jc w:val="both"/>
        <w:rPr>
          <w:rFonts w:ascii="Arial" w:hAnsi="Arial" w:cs="Arial"/>
        </w:rPr>
      </w:pPr>
    </w:p>
    <w:p w:rsidR="007732A7" w:rsidRDefault="007732A7" w:rsidP="007732A7">
      <w:pPr>
        <w:pStyle w:val="Sansinterligne"/>
        <w:spacing w:after="120"/>
        <w:jc w:val="both"/>
        <w:rPr>
          <w:rFonts w:ascii="Arial" w:hAnsi="Arial" w:cs="Arial"/>
        </w:rPr>
      </w:pPr>
    </w:p>
    <w:p w:rsidR="00FE7183" w:rsidRDefault="007732A7" w:rsidP="007732A7">
      <w:pPr>
        <w:pStyle w:val="Sansinterligne"/>
        <w:spacing w:after="120"/>
        <w:jc w:val="both"/>
        <w:rPr>
          <w:rFonts w:ascii="Arial" w:hAnsi="Arial" w:cs="Arial"/>
        </w:rPr>
      </w:pPr>
      <w:r w:rsidRPr="00C2346B">
        <w:rPr>
          <w:rFonts w:ascii="Arial" w:hAnsi="Arial" w:cs="Arial"/>
        </w:rPr>
        <w:t>Contacts presse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7183" w:rsidTr="00FE7183">
        <w:tc>
          <w:tcPr>
            <w:tcW w:w="4531" w:type="dxa"/>
          </w:tcPr>
          <w:p w:rsidR="00FE7183" w:rsidRPr="00FE7183" w:rsidRDefault="00FE7183" w:rsidP="00FE7183">
            <w:pPr>
              <w:pStyle w:val="Sansinterligne"/>
              <w:rPr>
                <w:rFonts w:ascii="Arial" w:hAnsi="Arial" w:cs="Arial"/>
                <w:b/>
              </w:rPr>
            </w:pPr>
            <w:r w:rsidRPr="00FE7183">
              <w:rPr>
                <w:rFonts w:ascii="Arial" w:hAnsi="Arial" w:cs="Arial"/>
                <w:b/>
              </w:rPr>
              <w:lastRenderedPageBreak/>
              <w:t>CNRS :</w:t>
            </w:r>
          </w:p>
          <w:p w:rsidR="00FE7183" w:rsidRDefault="00FE7183" w:rsidP="00FE7183">
            <w:pPr>
              <w:pStyle w:val="Sansinterligne"/>
              <w:jc w:val="both"/>
              <w:rPr>
                <w:rFonts w:ascii="Arial" w:hAnsi="Arial" w:cs="Arial"/>
              </w:rPr>
            </w:pPr>
            <w:r w:rsidRPr="00C2346B">
              <w:rPr>
                <w:rFonts w:ascii="Arial" w:hAnsi="Arial" w:cs="Arial"/>
              </w:rPr>
              <w:t xml:space="preserve">Magali </w:t>
            </w:r>
            <w:proofErr w:type="spellStart"/>
            <w:r w:rsidRPr="00C2346B">
              <w:rPr>
                <w:rFonts w:ascii="Arial" w:hAnsi="Arial" w:cs="Arial"/>
              </w:rPr>
              <w:t>Tencé</w:t>
            </w:r>
            <w:proofErr w:type="spellEnd"/>
          </w:p>
          <w:p w:rsidR="00FE7183" w:rsidRDefault="00FE7183" w:rsidP="00FE7183">
            <w:pPr>
              <w:pStyle w:val="Sansinterligne"/>
              <w:jc w:val="both"/>
              <w:rPr>
                <w:rFonts w:ascii="Arial" w:hAnsi="Arial" w:cs="Arial"/>
              </w:rPr>
            </w:pPr>
            <w:r w:rsidRPr="00C2346B">
              <w:rPr>
                <w:rFonts w:ascii="Arial" w:hAnsi="Arial" w:cs="Arial"/>
              </w:rPr>
              <w:t>06.74.00.06.60</w:t>
            </w:r>
          </w:p>
          <w:p w:rsidR="00FE7183" w:rsidRDefault="00023E18" w:rsidP="00FE7183">
            <w:pPr>
              <w:pStyle w:val="Sansinterligne"/>
              <w:jc w:val="both"/>
              <w:rPr>
                <w:rStyle w:val="Lienhypertexte"/>
                <w:rFonts w:ascii="Arial" w:hAnsi="Arial" w:cs="Arial"/>
              </w:rPr>
            </w:pPr>
            <w:hyperlink r:id="rId8" w:history="1">
              <w:r w:rsidR="00FE7183" w:rsidRPr="00FB65AD">
                <w:rPr>
                  <w:rStyle w:val="Lienhypertexte"/>
                  <w:rFonts w:ascii="Arial" w:hAnsi="Arial" w:cs="Arial"/>
                </w:rPr>
                <w:t>magali.tence@cnrs.fr</w:t>
              </w:r>
            </w:hyperlink>
          </w:p>
          <w:p w:rsidR="00FE7183" w:rsidRDefault="00FE7183" w:rsidP="007732A7">
            <w:pPr>
              <w:pStyle w:val="Sansinterligne"/>
              <w:spacing w:after="120"/>
              <w:jc w:val="both"/>
              <w:rPr>
                <w:rFonts w:ascii="Arial" w:hAnsi="Arial" w:cs="Arial"/>
              </w:rPr>
            </w:pPr>
          </w:p>
        </w:tc>
        <w:tc>
          <w:tcPr>
            <w:tcW w:w="4531" w:type="dxa"/>
          </w:tcPr>
          <w:p w:rsidR="00FE7183" w:rsidRPr="00FE7183" w:rsidRDefault="00FE7183" w:rsidP="00FE7183">
            <w:pPr>
              <w:pStyle w:val="Sansinterligne"/>
              <w:jc w:val="both"/>
              <w:rPr>
                <w:rFonts w:ascii="Arial" w:hAnsi="Arial" w:cs="Arial"/>
                <w:b/>
              </w:rPr>
            </w:pPr>
            <w:r w:rsidRPr="00FE7183">
              <w:rPr>
                <w:rFonts w:ascii="Arial" w:hAnsi="Arial" w:cs="Arial"/>
                <w:b/>
              </w:rPr>
              <w:t xml:space="preserve">Région Normandie :  </w:t>
            </w:r>
          </w:p>
          <w:p w:rsidR="00FE7183" w:rsidRDefault="00FE7183" w:rsidP="00FE7183">
            <w:pPr>
              <w:pStyle w:val="Sansinterligne"/>
              <w:jc w:val="both"/>
              <w:rPr>
                <w:rFonts w:ascii="Arial" w:hAnsi="Arial" w:cs="Arial"/>
              </w:rPr>
            </w:pPr>
            <w:r w:rsidRPr="00FE7183">
              <w:rPr>
                <w:rFonts w:ascii="Arial" w:hAnsi="Arial" w:cs="Arial"/>
              </w:rPr>
              <w:t xml:space="preserve">Charlotte Chanteloup </w:t>
            </w:r>
          </w:p>
          <w:p w:rsidR="00FE7183" w:rsidRDefault="00FE7183" w:rsidP="00FE7183">
            <w:pPr>
              <w:pStyle w:val="Sansinterligne"/>
              <w:jc w:val="both"/>
              <w:rPr>
                <w:rFonts w:ascii="Arial" w:hAnsi="Arial" w:cs="Arial"/>
              </w:rPr>
            </w:pPr>
            <w:r w:rsidRPr="00FE7183">
              <w:rPr>
                <w:rFonts w:ascii="Arial" w:hAnsi="Arial" w:cs="Arial"/>
              </w:rPr>
              <w:t>06 42 08 11 68</w:t>
            </w:r>
          </w:p>
          <w:p w:rsidR="00FE7183" w:rsidRDefault="00023E18" w:rsidP="00FE7183">
            <w:pPr>
              <w:pStyle w:val="Sansinterligne"/>
              <w:jc w:val="both"/>
              <w:rPr>
                <w:rFonts w:ascii="Arial" w:hAnsi="Arial" w:cs="Arial"/>
              </w:rPr>
            </w:pPr>
            <w:hyperlink r:id="rId9" w:history="1">
              <w:r w:rsidR="00FE7183" w:rsidRPr="00FB65AD">
                <w:rPr>
                  <w:rStyle w:val="Lienhypertexte"/>
                  <w:rFonts w:ascii="Arial" w:hAnsi="Arial" w:cs="Arial"/>
                </w:rPr>
                <w:t>charlotte.chanteloup@normandie.fr</w:t>
              </w:r>
            </w:hyperlink>
          </w:p>
          <w:p w:rsidR="00FE7183" w:rsidRDefault="00FE7183" w:rsidP="007732A7">
            <w:pPr>
              <w:pStyle w:val="Sansinterligne"/>
              <w:spacing w:after="120"/>
              <w:jc w:val="both"/>
              <w:rPr>
                <w:rFonts w:ascii="Arial" w:hAnsi="Arial" w:cs="Arial"/>
              </w:rPr>
            </w:pPr>
          </w:p>
        </w:tc>
      </w:tr>
      <w:bookmarkEnd w:id="0"/>
      <w:bookmarkEnd w:id="1"/>
    </w:tbl>
    <w:p w:rsidR="005C41C7" w:rsidRPr="00C2346B" w:rsidRDefault="005C41C7" w:rsidP="00C2346B">
      <w:pPr>
        <w:pStyle w:val="Sansinterligne"/>
        <w:jc w:val="both"/>
        <w:rPr>
          <w:rFonts w:ascii="Arial" w:hAnsi="Arial" w:cs="Arial"/>
        </w:rPr>
      </w:pPr>
    </w:p>
    <w:sectPr w:rsidR="005C41C7" w:rsidRPr="00C23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3pt;height:3pt;visibility:visible;mso-wrap-style:square" o:bullet="t">
        <v:imagedata r:id="rId1" o:title="logo-region-normandie-rvb1"/>
      </v:shape>
    </w:pict>
  </w:numPicBullet>
  <w:abstractNum w:abstractNumId="0" w15:restartNumberingAfterBreak="0">
    <w:nsid w:val="16491D97"/>
    <w:multiLevelType w:val="hybridMultilevel"/>
    <w:tmpl w:val="BB1239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1154A5"/>
    <w:multiLevelType w:val="hybridMultilevel"/>
    <w:tmpl w:val="D1C0552E"/>
    <w:lvl w:ilvl="0" w:tplc="4080BC2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F1E53"/>
    <w:multiLevelType w:val="hybridMultilevel"/>
    <w:tmpl w:val="BB02CF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3270C2"/>
    <w:multiLevelType w:val="hybridMultilevel"/>
    <w:tmpl w:val="0CE622E8"/>
    <w:lvl w:ilvl="0" w:tplc="393E7BE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7B5CE1"/>
    <w:multiLevelType w:val="hybridMultilevel"/>
    <w:tmpl w:val="455424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E5272F"/>
    <w:multiLevelType w:val="hybridMultilevel"/>
    <w:tmpl w:val="E174DA6C"/>
    <w:lvl w:ilvl="0" w:tplc="7EB8CC5E">
      <w:numFmt w:val="bullet"/>
      <w:lvlText w:val="-"/>
      <w:lvlJc w:val="left"/>
      <w:pPr>
        <w:ind w:left="720" w:hanging="360"/>
      </w:pPr>
      <w:rPr>
        <w:rFonts w:ascii="Arial Narrow" w:eastAsiaTheme="minorHAnsi"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0017E5"/>
    <w:multiLevelType w:val="hybridMultilevel"/>
    <w:tmpl w:val="240899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585C88"/>
    <w:multiLevelType w:val="hybridMultilevel"/>
    <w:tmpl w:val="AC0E0520"/>
    <w:lvl w:ilvl="0" w:tplc="F24C171C">
      <w:start w:val="1"/>
      <w:numFmt w:val="bullet"/>
      <w:pStyle w:val="Liste1"/>
      <w:lvlText w:val=""/>
      <w:lvlJc w:val="left"/>
      <w:pPr>
        <w:ind w:left="1431" w:hanging="360"/>
      </w:pPr>
      <w:rPr>
        <w:rFonts w:ascii="Wingdings" w:hAnsi="Wingdings"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76"/>
    <w:rsid w:val="00001C87"/>
    <w:rsid w:val="00023E18"/>
    <w:rsid w:val="00033976"/>
    <w:rsid w:val="000A549C"/>
    <w:rsid w:val="0016755A"/>
    <w:rsid w:val="0019148A"/>
    <w:rsid w:val="00217AE1"/>
    <w:rsid w:val="002254AD"/>
    <w:rsid w:val="002A4D3F"/>
    <w:rsid w:val="00313CEA"/>
    <w:rsid w:val="004C04C0"/>
    <w:rsid w:val="004C4FB5"/>
    <w:rsid w:val="00565B4F"/>
    <w:rsid w:val="005C41C7"/>
    <w:rsid w:val="005F1B79"/>
    <w:rsid w:val="00605E0E"/>
    <w:rsid w:val="006A755D"/>
    <w:rsid w:val="006C44F8"/>
    <w:rsid w:val="007732A7"/>
    <w:rsid w:val="00875CC1"/>
    <w:rsid w:val="00AF4008"/>
    <w:rsid w:val="00BE6CD1"/>
    <w:rsid w:val="00C035B8"/>
    <w:rsid w:val="00C2346B"/>
    <w:rsid w:val="00CE69D5"/>
    <w:rsid w:val="00D7710A"/>
    <w:rsid w:val="00E075C1"/>
    <w:rsid w:val="00F34D1D"/>
    <w:rsid w:val="00FE7183"/>
    <w:rsid w:val="00FF6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C8A6DF7-14A9-4C64-93E7-CA62D108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rpsTexte"/>
    <w:qFormat/>
    <w:rsid w:val="00001C87"/>
    <w:pPr>
      <w:spacing w:before="100" w:beforeAutospacing="1" w:after="100" w:afterAutospacing="1"/>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4FB5"/>
    <w:pPr>
      <w:spacing w:after="0" w:line="240" w:lineRule="auto"/>
    </w:pPr>
  </w:style>
  <w:style w:type="character" w:styleId="Lienhypertexte">
    <w:name w:val="Hyperlink"/>
    <w:basedOn w:val="Policepardfaut"/>
    <w:uiPriority w:val="99"/>
    <w:unhideWhenUsed/>
    <w:rsid w:val="00D7710A"/>
    <w:rPr>
      <w:color w:val="0563C1" w:themeColor="hyperlink"/>
      <w:u w:val="single"/>
    </w:rPr>
  </w:style>
  <w:style w:type="table" w:styleId="Grilledutableau">
    <w:name w:val="Table Grid"/>
    <w:basedOn w:val="TableauNormal"/>
    <w:uiPriority w:val="39"/>
    <w:rsid w:val="0031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01C87"/>
    <w:pPr>
      <w:ind w:left="720"/>
      <w:contextualSpacing/>
    </w:pPr>
  </w:style>
  <w:style w:type="paragraph" w:customStyle="1" w:styleId="aart">
    <w:name w:val="aart"/>
    <w:basedOn w:val="Normal"/>
    <w:rsid w:val="00001C87"/>
    <w:pPr>
      <w:spacing w:before="300" w:after="0" w:line="240" w:lineRule="auto"/>
      <w:ind w:firstLine="283"/>
      <w:textAlignment w:val="baseline"/>
    </w:pPr>
    <w:rPr>
      <w:rFonts w:ascii="Times" w:eastAsia="Times New Roman" w:hAnsi="Times" w:cs="Times"/>
      <w:color w:val="000000"/>
      <w:sz w:val="24"/>
      <w:szCs w:val="24"/>
      <w:lang w:eastAsia="fr-FR"/>
    </w:rPr>
  </w:style>
  <w:style w:type="paragraph" w:customStyle="1" w:styleId="Liste1">
    <w:name w:val="Liste1"/>
    <w:basedOn w:val="Paragraphedeliste"/>
    <w:qFormat/>
    <w:rsid w:val="00001C87"/>
    <w:pPr>
      <w:numPr>
        <w:numId w:val="5"/>
      </w:numPr>
      <w:spacing w:before="0" w:beforeAutospacing="0"/>
      <w:ind w:left="357" w:hanging="357"/>
    </w:pPr>
    <w:rPr>
      <w:rFonts w:eastAsia="Times New Roman" w:cs="Arial"/>
      <w:lang w:eastAsia="fr-FR"/>
    </w:rPr>
  </w:style>
  <w:style w:type="character" w:customStyle="1" w:styleId="ParagraphedelisteCar">
    <w:name w:val="Paragraphe de liste Car"/>
    <w:link w:val="Paragraphedeliste"/>
    <w:uiPriority w:val="34"/>
    <w:locked/>
    <w:rsid w:val="00001C87"/>
    <w:rPr>
      <w:rFonts w:ascii="Arial" w:hAnsi="Arial"/>
    </w:rPr>
  </w:style>
  <w:style w:type="character" w:customStyle="1" w:styleId="Mentionnonrsolue1">
    <w:name w:val="Mention non résolue1"/>
    <w:basedOn w:val="Policepardfaut"/>
    <w:uiPriority w:val="99"/>
    <w:semiHidden/>
    <w:unhideWhenUsed/>
    <w:rsid w:val="00FE7183"/>
    <w:rPr>
      <w:color w:val="605E5C"/>
      <w:shd w:val="clear" w:color="auto" w:fill="E1DFDD"/>
    </w:rPr>
  </w:style>
  <w:style w:type="paragraph" w:styleId="Sous-titre">
    <w:name w:val="Subtitle"/>
    <w:basedOn w:val="Normal"/>
    <w:next w:val="Normal"/>
    <w:link w:val="Sous-titreCar"/>
    <w:uiPriority w:val="11"/>
    <w:qFormat/>
    <w:rsid w:val="00023E18"/>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023E1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li.tence@cnrs.fr"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4251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TENCE Magali</dc:creator>
  <cp:keywords/>
  <dc:description/>
  <cp:lastModifiedBy>CHANTELOUP Charlotte</cp:lastModifiedBy>
  <cp:revision>5</cp:revision>
  <cp:lastPrinted>2021-09-17T10:08:00Z</cp:lastPrinted>
  <dcterms:created xsi:type="dcterms:W3CDTF">2021-09-17T14:41:00Z</dcterms:created>
  <dcterms:modified xsi:type="dcterms:W3CDTF">2021-09-21T08:17:00Z</dcterms:modified>
</cp:coreProperties>
</file>