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EB5A5" w14:textId="784E23F6" w:rsidR="00EE396D" w:rsidRPr="00DD7072" w:rsidRDefault="000A4A15">
      <w:bookmarkStart w:id="0" w:name="_Hlk68878982"/>
      <w:r w:rsidRPr="00DD7072">
        <w:rPr>
          <w:noProof/>
        </w:rPr>
        <w:drawing>
          <wp:inline distT="0" distB="0" distL="0" distR="0" wp14:anchorId="68C69158" wp14:editId="165D7B32">
            <wp:extent cx="5760720" cy="550144"/>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50144"/>
                    </a:xfrm>
                    <a:prstGeom prst="rect">
                      <a:avLst/>
                    </a:prstGeom>
                    <a:noFill/>
                  </pic:spPr>
                </pic:pic>
              </a:graphicData>
            </a:graphic>
          </wp:inline>
        </w:drawing>
      </w:r>
    </w:p>
    <w:tbl>
      <w:tblPr>
        <w:tblStyle w:val="Grilledutableau"/>
        <w:tblW w:w="91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056"/>
        <w:gridCol w:w="756"/>
        <w:gridCol w:w="1160"/>
        <w:gridCol w:w="1326"/>
        <w:gridCol w:w="966"/>
        <w:gridCol w:w="1476"/>
        <w:gridCol w:w="1446"/>
      </w:tblGrid>
      <w:tr w:rsidR="00A720A4" w:rsidRPr="00DD7072" w14:paraId="1E47B69E" w14:textId="60F8DA45" w:rsidTr="00A720A4">
        <w:trPr>
          <w:jc w:val="center"/>
        </w:trPr>
        <w:tc>
          <w:tcPr>
            <w:tcW w:w="1025" w:type="dxa"/>
          </w:tcPr>
          <w:p w14:paraId="4E642A61" w14:textId="29F9643F" w:rsidR="00C05800" w:rsidRPr="00DD7072" w:rsidRDefault="00C05800" w:rsidP="000A4A15">
            <w:pPr>
              <w:spacing w:after="0" w:line="240" w:lineRule="auto"/>
              <w:rPr>
                <w:rFonts w:ascii="Arial" w:hAnsi="Arial" w:cs="Arial"/>
                <w:noProof/>
              </w:rPr>
            </w:pPr>
            <w:r w:rsidRPr="00DD7072">
              <w:rPr>
                <w:rFonts w:ascii="Arial" w:hAnsi="Arial" w:cs="Arial"/>
                <w:noProof/>
              </w:rPr>
              <w:drawing>
                <wp:inline distT="0" distB="0" distL="0" distR="0" wp14:anchorId="4BCF6DE9" wp14:editId="1BC61C0B">
                  <wp:extent cx="808207" cy="6477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a:extLst>
                              <a:ext uri="{28A0092B-C50C-407E-A947-70E740481C1C}">
                                <a14:useLocalDpi xmlns:a14="http://schemas.microsoft.com/office/drawing/2010/main" val="0"/>
                              </a:ext>
                            </a:extLst>
                          </a:blip>
                          <a:srcRect l="9031" r="5178"/>
                          <a:stretch/>
                        </pic:blipFill>
                        <pic:spPr bwMode="auto">
                          <a:xfrm>
                            <a:off x="0" y="0"/>
                            <a:ext cx="817609" cy="6552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10" w:type="dxa"/>
            <w:vAlign w:val="center"/>
          </w:tcPr>
          <w:p w14:paraId="276677A9" w14:textId="21F851BB" w:rsidR="00C05800" w:rsidRPr="00DD7072" w:rsidRDefault="00C05800" w:rsidP="000A4A15">
            <w:pPr>
              <w:spacing w:after="0" w:line="240" w:lineRule="auto"/>
              <w:rPr>
                <w:rFonts w:ascii="Arial" w:hAnsi="Arial" w:cs="Arial"/>
              </w:rPr>
            </w:pPr>
            <w:r w:rsidRPr="00DD7072">
              <w:rPr>
                <w:rFonts w:ascii="Arial" w:hAnsi="Arial" w:cs="Arial"/>
                <w:noProof/>
              </w:rPr>
              <w:drawing>
                <wp:inline distT="0" distB="0" distL="0" distR="0" wp14:anchorId="60D7636E" wp14:editId="47059944">
                  <wp:extent cx="533790" cy="5048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388" cy="517685"/>
                          </a:xfrm>
                          <a:prstGeom prst="rect">
                            <a:avLst/>
                          </a:prstGeom>
                          <a:noFill/>
                        </pic:spPr>
                      </pic:pic>
                    </a:graphicData>
                  </a:graphic>
                </wp:inline>
              </w:drawing>
            </w:r>
          </w:p>
        </w:tc>
        <w:tc>
          <w:tcPr>
            <w:tcW w:w="810" w:type="dxa"/>
            <w:vAlign w:val="center"/>
          </w:tcPr>
          <w:p w14:paraId="21095727" w14:textId="20FA6465" w:rsidR="00C05800" w:rsidRPr="00DD7072" w:rsidRDefault="00C05800" w:rsidP="000A4A15">
            <w:pPr>
              <w:spacing w:after="0" w:line="240" w:lineRule="auto"/>
              <w:rPr>
                <w:rFonts w:ascii="Arial" w:hAnsi="Arial" w:cs="Arial"/>
              </w:rPr>
            </w:pPr>
            <w:r w:rsidRPr="00DD7072">
              <w:rPr>
                <w:noProof/>
              </w:rPr>
              <w:drawing>
                <wp:inline distT="0" distB="0" distL="0" distR="0" wp14:anchorId="40EA3375" wp14:editId="0C5BF518">
                  <wp:extent cx="342900" cy="3429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2900" cy="342900"/>
                          </a:xfrm>
                          <a:prstGeom prst="rect">
                            <a:avLst/>
                          </a:prstGeom>
                        </pic:spPr>
                      </pic:pic>
                    </a:graphicData>
                  </a:graphic>
                </wp:inline>
              </w:drawing>
            </w:r>
          </w:p>
        </w:tc>
        <w:tc>
          <w:tcPr>
            <w:tcW w:w="1205" w:type="dxa"/>
            <w:vAlign w:val="center"/>
          </w:tcPr>
          <w:p w14:paraId="7E6134F4" w14:textId="7473CD48" w:rsidR="00C05800" w:rsidRPr="00DD7072" w:rsidRDefault="00C05800" w:rsidP="000A4A15">
            <w:pPr>
              <w:spacing w:after="0" w:line="240" w:lineRule="auto"/>
              <w:rPr>
                <w:rFonts w:ascii="Arial" w:hAnsi="Arial" w:cs="Arial"/>
              </w:rPr>
            </w:pPr>
            <w:r w:rsidRPr="00DD7072">
              <w:rPr>
                <w:rFonts w:ascii="Arial" w:hAnsi="Arial" w:cs="Arial"/>
                <w:noProof/>
              </w:rPr>
              <w:drawing>
                <wp:inline distT="0" distB="0" distL="0" distR="0" wp14:anchorId="21B166A8" wp14:editId="3152B69B">
                  <wp:extent cx="600074" cy="5619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129" cy="577947"/>
                          </a:xfrm>
                          <a:prstGeom prst="rect">
                            <a:avLst/>
                          </a:prstGeom>
                          <a:noFill/>
                        </pic:spPr>
                      </pic:pic>
                    </a:graphicData>
                  </a:graphic>
                </wp:inline>
              </w:drawing>
            </w:r>
          </w:p>
        </w:tc>
        <w:tc>
          <w:tcPr>
            <w:tcW w:w="1020" w:type="dxa"/>
            <w:vAlign w:val="center"/>
          </w:tcPr>
          <w:p w14:paraId="723960E9" w14:textId="4EB03B2C" w:rsidR="00C05800" w:rsidRPr="00DD7072" w:rsidRDefault="00114525" w:rsidP="000A4A15">
            <w:pPr>
              <w:spacing w:after="0" w:line="240" w:lineRule="auto"/>
              <w:rPr>
                <w:rFonts w:ascii="Arial" w:hAnsi="Arial" w:cs="Arial"/>
              </w:rPr>
            </w:pPr>
            <w:r>
              <w:rPr>
                <w:noProof/>
              </w:rPr>
              <w:drawing>
                <wp:inline distT="0" distB="0" distL="0" distR="0" wp14:anchorId="59DAE08F" wp14:editId="3CE5C0BD">
                  <wp:extent cx="704850" cy="670560"/>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4850" cy="670560"/>
                          </a:xfrm>
                          <a:prstGeom prst="rect">
                            <a:avLst/>
                          </a:prstGeom>
                        </pic:spPr>
                      </pic:pic>
                    </a:graphicData>
                  </a:graphic>
                </wp:inline>
              </w:drawing>
            </w:r>
          </w:p>
        </w:tc>
        <w:tc>
          <w:tcPr>
            <w:tcW w:w="1002" w:type="dxa"/>
            <w:vAlign w:val="center"/>
          </w:tcPr>
          <w:p w14:paraId="191C6A1B" w14:textId="01E74723" w:rsidR="00C05800" w:rsidRPr="00DD7072" w:rsidRDefault="00C05800" w:rsidP="000A4A15">
            <w:pPr>
              <w:spacing w:after="0" w:line="240" w:lineRule="auto"/>
              <w:rPr>
                <w:rFonts w:ascii="Arial" w:hAnsi="Arial" w:cs="Arial"/>
                <w:noProof/>
              </w:rPr>
            </w:pPr>
            <w:r w:rsidRPr="00DD7072">
              <w:rPr>
                <w:noProof/>
              </w:rPr>
              <w:drawing>
                <wp:inline distT="0" distB="0" distL="0" distR="0" wp14:anchorId="20A0BC85" wp14:editId="08044099">
                  <wp:extent cx="466725" cy="466725"/>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6725" cy="466725"/>
                          </a:xfrm>
                          <a:prstGeom prst="rect">
                            <a:avLst/>
                          </a:prstGeom>
                        </pic:spPr>
                      </pic:pic>
                    </a:graphicData>
                  </a:graphic>
                </wp:inline>
              </w:drawing>
            </w:r>
          </w:p>
        </w:tc>
        <w:tc>
          <w:tcPr>
            <w:tcW w:w="1495" w:type="dxa"/>
            <w:vAlign w:val="center"/>
          </w:tcPr>
          <w:p w14:paraId="30686176" w14:textId="02875596" w:rsidR="00C05800" w:rsidRPr="00DD7072" w:rsidRDefault="00C05800" w:rsidP="000A4A15">
            <w:pPr>
              <w:spacing w:after="0" w:line="240" w:lineRule="auto"/>
              <w:rPr>
                <w:rFonts w:ascii="Arial" w:hAnsi="Arial" w:cs="Arial"/>
                <w:noProof/>
              </w:rPr>
            </w:pPr>
            <w:r w:rsidRPr="00DD7072">
              <w:rPr>
                <w:rFonts w:ascii="Arial" w:hAnsi="Arial" w:cs="Arial"/>
                <w:noProof/>
              </w:rPr>
              <w:drawing>
                <wp:inline distT="0" distB="0" distL="0" distR="0" wp14:anchorId="1CEB1BDC" wp14:editId="54B73ABA">
                  <wp:extent cx="796252" cy="514350"/>
                  <wp:effectExtent l="0" t="0" r="444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0128" cy="529773"/>
                          </a:xfrm>
                          <a:prstGeom prst="rect">
                            <a:avLst/>
                          </a:prstGeom>
                          <a:noFill/>
                        </pic:spPr>
                      </pic:pic>
                    </a:graphicData>
                  </a:graphic>
                </wp:inline>
              </w:drawing>
            </w:r>
          </w:p>
        </w:tc>
        <w:tc>
          <w:tcPr>
            <w:tcW w:w="1454" w:type="dxa"/>
            <w:vAlign w:val="center"/>
          </w:tcPr>
          <w:p w14:paraId="45DA8347" w14:textId="420AE751" w:rsidR="00C05800" w:rsidRPr="00DD7072" w:rsidRDefault="00C05800" w:rsidP="000A4A15">
            <w:pPr>
              <w:spacing w:after="0" w:line="240" w:lineRule="auto"/>
              <w:rPr>
                <w:rFonts w:ascii="Arial" w:hAnsi="Arial" w:cs="Arial"/>
                <w:noProof/>
              </w:rPr>
            </w:pPr>
            <w:r w:rsidRPr="00DD7072">
              <w:rPr>
                <w:noProof/>
              </w:rPr>
              <w:drawing>
                <wp:inline distT="0" distB="0" distL="0" distR="0" wp14:anchorId="3758EE7C" wp14:editId="5C56BF42">
                  <wp:extent cx="773875" cy="476250"/>
                  <wp:effectExtent l="0" t="0" r="762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13201" cy="500451"/>
                          </a:xfrm>
                          <a:prstGeom prst="rect">
                            <a:avLst/>
                          </a:prstGeom>
                        </pic:spPr>
                      </pic:pic>
                    </a:graphicData>
                  </a:graphic>
                </wp:inline>
              </w:drawing>
            </w:r>
          </w:p>
        </w:tc>
      </w:tr>
    </w:tbl>
    <w:p w14:paraId="1CE2D2D2" w14:textId="77777777" w:rsidR="000A4A15" w:rsidRPr="00DD7072" w:rsidRDefault="000A4A15" w:rsidP="000A4A15">
      <w:pPr>
        <w:spacing w:after="0" w:line="240" w:lineRule="auto"/>
        <w:jc w:val="right"/>
        <w:rPr>
          <w:rFonts w:ascii="Arial" w:hAnsi="Arial" w:cs="Arial"/>
        </w:rPr>
      </w:pPr>
    </w:p>
    <w:p w14:paraId="5D872608" w14:textId="77777777" w:rsidR="000A4A15" w:rsidRPr="00DD7072" w:rsidRDefault="000A4A15" w:rsidP="000A4A15">
      <w:pPr>
        <w:spacing w:after="0" w:line="240" w:lineRule="auto"/>
        <w:jc w:val="right"/>
        <w:rPr>
          <w:rFonts w:ascii="Arial" w:hAnsi="Arial" w:cs="Arial"/>
        </w:rPr>
      </w:pPr>
    </w:p>
    <w:p w14:paraId="5CA4FA41" w14:textId="449636CF" w:rsidR="000A4A15" w:rsidRPr="00DD7072" w:rsidRDefault="000A4A15" w:rsidP="000A4A15">
      <w:pPr>
        <w:spacing w:after="0" w:line="240" w:lineRule="auto"/>
        <w:jc w:val="right"/>
        <w:rPr>
          <w:rFonts w:ascii="Arial" w:hAnsi="Arial" w:cs="Arial"/>
        </w:rPr>
      </w:pPr>
      <w:r w:rsidRPr="00DD7072">
        <w:rPr>
          <w:rFonts w:ascii="Arial" w:hAnsi="Arial" w:cs="Arial"/>
        </w:rPr>
        <w:t xml:space="preserve">Le </w:t>
      </w:r>
      <w:r w:rsidR="00C9413A">
        <w:rPr>
          <w:rFonts w:ascii="Arial" w:hAnsi="Arial" w:cs="Arial"/>
        </w:rPr>
        <w:t>12</w:t>
      </w:r>
      <w:r w:rsidRPr="00DD7072">
        <w:rPr>
          <w:rFonts w:ascii="Arial" w:hAnsi="Arial" w:cs="Arial"/>
        </w:rPr>
        <w:t xml:space="preserve"> avril 2021</w:t>
      </w:r>
    </w:p>
    <w:p w14:paraId="63B411FA" w14:textId="3555C939" w:rsidR="00C05800" w:rsidRPr="00DD7072" w:rsidRDefault="00C05800" w:rsidP="00F61C60">
      <w:pPr>
        <w:spacing w:after="0" w:line="240" w:lineRule="auto"/>
        <w:jc w:val="both"/>
        <w:rPr>
          <w:rFonts w:ascii="Arial" w:hAnsi="Arial" w:cs="Arial"/>
          <w:b/>
        </w:rPr>
      </w:pPr>
    </w:p>
    <w:p w14:paraId="54E7CB6D" w14:textId="77777777" w:rsidR="005D6433" w:rsidRPr="00DD7072" w:rsidRDefault="005D6433" w:rsidP="005D6433">
      <w:pPr>
        <w:spacing w:after="0" w:line="240" w:lineRule="auto"/>
        <w:jc w:val="both"/>
        <w:rPr>
          <w:rFonts w:ascii="Arial" w:hAnsi="Arial" w:cs="Arial"/>
          <w:b/>
          <w:bCs/>
          <w:sz w:val="28"/>
          <w:szCs w:val="28"/>
        </w:rPr>
      </w:pPr>
      <w:r w:rsidRPr="00DD7072">
        <w:rPr>
          <w:rFonts w:ascii="Arial" w:hAnsi="Arial" w:cs="Arial"/>
          <w:b/>
          <w:bCs/>
          <w:sz w:val="28"/>
          <w:szCs w:val="28"/>
        </w:rPr>
        <w:t>Constitution de la Foncière Normandie et installation de son Conseil d’administration</w:t>
      </w:r>
    </w:p>
    <w:p w14:paraId="5B73F794" w14:textId="77777777" w:rsidR="005D6433" w:rsidRPr="00DD7072" w:rsidRDefault="005D6433" w:rsidP="005D6433">
      <w:pPr>
        <w:spacing w:after="0" w:line="240" w:lineRule="auto"/>
        <w:jc w:val="both"/>
        <w:rPr>
          <w:rFonts w:ascii="Arial" w:hAnsi="Arial" w:cs="Arial"/>
          <w:b/>
          <w:bCs/>
        </w:rPr>
      </w:pPr>
    </w:p>
    <w:p w14:paraId="0AEDC096" w14:textId="6D8E6C29" w:rsidR="005D6433" w:rsidRPr="00DD7072" w:rsidRDefault="005D6433" w:rsidP="005D6433">
      <w:pPr>
        <w:spacing w:after="0" w:line="240" w:lineRule="auto"/>
        <w:jc w:val="both"/>
        <w:rPr>
          <w:rFonts w:ascii="Arial" w:hAnsi="Arial" w:cs="Arial"/>
          <w:b/>
          <w:bCs/>
        </w:rPr>
      </w:pPr>
      <w:r w:rsidRPr="00DD7072">
        <w:rPr>
          <w:rFonts w:ascii="Arial" w:hAnsi="Arial" w:cs="Arial"/>
          <w:b/>
          <w:bCs/>
        </w:rPr>
        <w:t xml:space="preserve">Dans le cadre de sa politique en faveur de la revitalisation des centres, la Région a décidé de créer, avec l’appui de ses partenaires, une foncière pour assurer le portage de long terme de l’immobilier commercial dans les centres-villes et centres-bourgs. L’Assemblée générale constitutive de la Foncière de Normandie s’est tenue, </w:t>
      </w:r>
      <w:r w:rsidR="00C9413A">
        <w:rPr>
          <w:rFonts w:ascii="Arial" w:hAnsi="Arial" w:cs="Arial"/>
          <w:b/>
          <w:bCs/>
        </w:rPr>
        <w:t>le 9 avril 2021</w:t>
      </w:r>
      <w:r w:rsidRPr="00DD7072">
        <w:rPr>
          <w:rFonts w:ascii="Arial" w:hAnsi="Arial" w:cs="Arial"/>
          <w:b/>
          <w:bCs/>
        </w:rPr>
        <w:t xml:space="preserve">, à l’Abbaye-aux-Dames à Caen. Hervé Morin et Guy </w:t>
      </w:r>
      <w:proofErr w:type="spellStart"/>
      <w:r w:rsidRPr="00DD7072">
        <w:rPr>
          <w:rFonts w:ascii="Arial" w:hAnsi="Arial" w:cs="Arial"/>
          <w:b/>
          <w:bCs/>
        </w:rPr>
        <w:t>Lefrand</w:t>
      </w:r>
      <w:proofErr w:type="spellEnd"/>
      <w:r w:rsidRPr="00DD7072">
        <w:rPr>
          <w:rFonts w:ascii="Arial" w:hAnsi="Arial" w:cs="Arial"/>
          <w:b/>
          <w:bCs/>
        </w:rPr>
        <w:t>, ont été élus respectivement Président et Vice-président du Conseil d’administration. La Direction Générale est confiée à Luc Davis, Directeur Général de la SHEMA.</w:t>
      </w:r>
    </w:p>
    <w:p w14:paraId="5E01E979" w14:textId="77777777" w:rsidR="005D6433" w:rsidRPr="00DD7072" w:rsidRDefault="005D6433" w:rsidP="005D6433">
      <w:pPr>
        <w:spacing w:after="0" w:line="240" w:lineRule="auto"/>
        <w:jc w:val="both"/>
        <w:rPr>
          <w:rFonts w:ascii="Arial" w:hAnsi="Arial" w:cs="Arial"/>
          <w:b/>
          <w:bCs/>
        </w:rPr>
      </w:pPr>
    </w:p>
    <w:p w14:paraId="0A669C87" w14:textId="0B259754" w:rsidR="005D6433" w:rsidRPr="00DD7072" w:rsidRDefault="005D6433" w:rsidP="005D6433">
      <w:pPr>
        <w:spacing w:after="0" w:line="240" w:lineRule="auto"/>
        <w:jc w:val="both"/>
        <w:rPr>
          <w:rFonts w:ascii="Arial" w:hAnsi="Arial" w:cs="Arial"/>
          <w:i/>
          <w:iCs/>
        </w:rPr>
      </w:pPr>
      <w:r w:rsidRPr="00DD7072">
        <w:rPr>
          <w:rFonts w:ascii="Arial" w:hAnsi="Arial" w:cs="Arial"/>
          <w:i/>
          <w:iCs/>
        </w:rPr>
        <w:t xml:space="preserve">« La création de la Foncière Normandie répond à </w:t>
      </w:r>
      <w:r w:rsidR="00A26BC7">
        <w:rPr>
          <w:rFonts w:ascii="Arial" w:hAnsi="Arial" w:cs="Arial"/>
          <w:i/>
          <w:iCs/>
        </w:rPr>
        <w:t xml:space="preserve">un </w:t>
      </w:r>
      <w:r w:rsidRPr="00DD7072">
        <w:rPr>
          <w:rFonts w:ascii="Arial" w:hAnsi="Arial" w:cs="Arial"/>
          <w:i/>
          <w:iCs/>
        </w:rPr>
        <w:t>enjeu majeur, celui de consolider ou de redynamiser les centres-villes et centres-bourgs afin de redonner aux Normands l’envie d’habiter et de fréquenter leurs cœurs de villes.</w:t>
      </w:r>
      <w:r w:rsidRPr="00DD7072">
        <w:t xml:space="preserve"> </w:t>
      </w:r>
      <w:r w:rsidRPr="00DD7072">
        <w:rPr>
          <w:rFonts w:ascii="Arial" w:hAnsi="Arial" w:cs="Arial"/>
          <w:i/>
          <w:iCs/>
        </w:rPr>
        <w:t xml:space="preserve">Cet outil s’inscrit en complémentarité avec les actions menées par ailleurs par la Région sur le logement, les mobilités, la réinstallation d’activités économiques dans les centres ou encore le soutien à l’aménagement des espaces publics. La présence de partenaires bancaires bien connus des territoires comme la Banque des Territoires et la Caisse d’Epargne </w:t>
      </w:r>
      <w:r w:rsidR="00115442" w:rsidRPr="00DD7072">
        <w:rPr>
          <w:rFonts w:ascii="Arial" w:hAnsi="Arial" w:cs="Arial"/>
          <w:i/>
          <w:iCs/>
        </w:rPr>
        <w:t xml:space="preserve">Normandie </w:t>
      </w:r>
      <w:r w:rsidRPr="00DD7072">
        <w:rPr>
          <w:rFonts w:ascii="Arial" w:hAnsi="Arial" w:cs="Arial"/>
          <w:i/>
          <w:iCs/>
        </w:rPr>
        <w:t xml:space="preserve">est un véritable atout, comme l’est la présence de la SHEMA, de l’Etablissement foncier de Normandie et de Territoires et Habitat normand, qui travaillent déjà sur ces sujets en tant qu’opérateurs » </w:t>
      </w:r>
      <w:r w:rsidRPr="00DD7072">
        <w:rPr>
          <w:rFonts w:ascii="Arial" w:hAnsi="Arial" w:cs="Arial"/>
        </w:rPr>
        <w:t xml:space="preserve">a rappelé Hervé Morin, Président de la Région Normandie. </w:t>
      </w:r>
    </w:p>
    <w:p w14:paraId="1D8FAB28" w14:textId="77777777" w:rsidR="005D6433" w:rsidRPr="00DD7072" w:rsidRDefault="005D6433" w:rsidP="005D6433">
      <w:pPr>
        <w:spacing w:after="0" w:line="240" w:lineRule="auto"/>
        <w:jc w:val="both"/>
        <w:rPr>
          <w:rFonts w:ascii="Arial" w:hAnsi="Arial" w:cs="Arial"/>
          <w:i/>
          <w:iCs/>
        </w:rPr>
      </w:pPr>
    </w:p>
    <w:p w14:paraId="2BA5D548" w14:textId="77777777" w:rsidR="005D6433" w:rsidRPr="00DD7072" w:rsidRDefault="005D6433" w:rsidP="005D6433">
      <w:pPr>
        <w:spacing w:after="0" w:line="240" w:lineRule="auto"/>
        <w:jc w:val="both"/>
        <w:rPr>
          <w:rFonts w:ascii="Arial" w:hAnsi="Arial" w:cs="Arial"/>
        </w:rPr>
      </w:pPr>
      <w:r w:rsidRPr="00DD7072">
        <w:rPr>
          <w:rFonts w:ascii="Arial" w:hAnsi="Arial" w:cs="Arial"/>
        </w:rPr>
        <w:t>Les commerces et services des centres-villes et centres-bourgs sont essentiels au dynamisme local. Bien souvent malmenés par les évolutions de modes de vie et de consommation, ils ont été pour certains encore davantage fragilisés par la crise sanitaire, qui a dans le même temps montré tout l’intérêt d’une offre commerciale de proximité. Ce sera aussi l’occasion de favoriser l’installation de services à la personne comme des centres médicaux.</w:t>
      </w:r>
    </w:p>
    <w:p w14:paraId="13F3E408" w14:textId="77777777" w:rsidR="005D6433" w:rsidRPr="00DD7072" w:rsidRDefault="005D6433" w:rsidP="005D6433">
      <w:pPr>
        <w:spacing w:after="0" w:line="240" w:lineRule="auto"/>
        <w:jc w:val="both"/>
        <w:rPr>
          <w:rFonts w:ascii="Arial" w:hAnsi="Arial" w:cs="Arial"/>
        </w:rPr>
      </w:pPr>
    </w:p>
    <w:p w14:paraId="0E7FB537" w14:textId="4BB5E8FD" w:rsidR="005D6433" w:rsidRPr="00DD7072" w:rsidRDefault="005D6433" w:rsidP="005D6433">
      <w:pPr>
        <w:spacing w:after="0" w:line="240" w:lineRule="auto"/>
        <w:jc w:val="both"/>
        <w:rPr>
          <w:rFonts w:ascii="Arial" w:hAnsi="Arial" w:cs="Arial"/>
        </w:rPr>
      </w:pPr>
      <w:r w:rsidRPr="00DD7072">
        <w:rPr>
          <w:rFonts w:ascii="Arial" w:hAnsi="Arial" w:cs="Arial"/>
        </w:rPr>
        <w:t xml:space="preserve">Dans ce contexte, l’action de la Foncière Normandie consistera à acquérir, porter l’immobilier commercial </w:t>
      </w:r>
      <w:r w:rsidR="00DD7072" w:rsidRPr="00DD7072">
        <w:rPr>
          <w:rFonts w:ascii="Arial" w:hAnsi="Arial" w:cs="Arial"/>
        </w:rPr>
        <w:t xml:space="preserve">et de services </w:t>
      </w:r>
      <w:r w:rsidRPr="00DD7072">
        <w:rPr>
          <w:rFonts w:ascii="Arial" w:hAnsi="Arial" w:cs="Arial"/>
        </w:rPr>
        <w:t>de centre-ville et l’exploiter en le proposant à des candidats. Elle permettra une gestion dans la durée et en adéquation permanente aux attentes locales, du consommateur et de l’évolution des usages.</w:t>
      </w:r>
    </w:p>
    <w:p w14:paraId="5457BC32" w14:textId="77777777" w:rsidR="005D6433" w:rsidRPr="00DD7072" w:rsidRDefault="005D6433" w:rsidP="005D6433">
      <w:pPr>
        <w:spacing w:after="0" w:line="240" w:lineRule="auto"/>
        <w:jc w:val="both"/>
        <w:rPr>
          <w:rFonts w:ascii="Arial" w:hAnsi="Arial" w:cs="Arial"/>
        </w:rPr>
      </w:pPr>
    </w:p>
    <w:p w14:paraId="44DBB35D" w14:textId="27288743" w:rsidR="005D6433" w:rsidRPr="00DD7072" w:rsidRDefault="005D6433" w:rsidP="005D6433">
      <w:pPr>
        <w:spacing w:after="0" w:line="240" w:lineRule="auto"/>
        <w:jc w:val="both"/>
        <w:rPr>
          <w:rFonts w:ascii="Arial" w:hAnsi="Arial" w:cs="Arial"/>
        </w:rPr>
      </w:pPr>
      <w:r w:rsidRPr="00DD7072">
        <w:rPr>
          <w:rFonts w:ascii="Arial" w:hAnsi="Arial" w:cs="Arial"/>
        </w:rPr>
        <w:t>Le principe</w:t>
      </w:r>
      <w:r w:rsidR="00DD7072" w:rsidRPr="00DD7072">
        <w:rPr>
          <w:rFonts w:ascii="Arial" w:hAnsi="Arial" w:cs="Arial"/>
        </w:rPr>
        <w:t xml:space="preserve"> de cette foncière</w:t>
      </w:r>
      <w:r w:rsidRPr="00DD7072">
        <w:rPr>
          <w:rFonts w:ascii="Arial" w:hAnsi="Arial" w:cs="Arial"/>
        </w:rPr>
        <w:t xml:space="preserve"> est celui d’une organisation juridique souple sous forme d’une Société d’économie Mixte (SEM) permettant la participation aux acquisitions des acteurs locaux. La Foncière s’appuiera également sur l’expertise des Consulaires (Chambre des métiers, CCI) et des fédérations professionnelles, pour l’accompagner dans la sélection des candidats à la reprise des commerces. </w:t>
      </w:r>
    </w:p>
    <w:p w14:paraId="3B7CD186" w14:textId="77777777" w:rsidR="005D6433" w:rsidRPr="00DD7072" w:rsidRDefault="005D6433" w:rsidP="005D6433">
      <w:pPr>
        <w:spacing w:after="0" w:line="240" w:lineRule="auto"/>
        <w:ind w:left="426" w:firstLine="708"/>
        <w:rPr>
          <w:rFonts w:ascii="Arial" w:hAnsi="Arial" w:cs="Arial"/>
        </w:rPr>
      </w:pPr>
    </w:p>
    <w:p w14:paraId="3E7EDA3F" w14:textId="77777777" w:rsidR="005D6433" w:rsidRPr="00DD7072" w:rsidRDefault="005D6433" w:rsidP="005D6433">
      <w:pPr>
        <w:spacing w:after="0" w:line="240" w:lineRule="auto"/>
        <w:jc w:val="both"/>
        <w:rPr>
          <w:rFonts w:ascii="Arial" w:hAnsi="Arial" w:cs="Arial"/>
        </w:rPr>
      </w:pPr>
      <w:r w:rsidRPr="00DD7072">
        <w:rPr>
          <w:rFonts w:ascii="Arial" w:hAnsi="Arial" w:cs="Arial"/>
        </w:rPr>
        <w:t>La SEM est dotée d’un capital de 5 millions d’euros avec un premier objectif d’acquisition d’environ 150 locaux</w:t>
      </w:r>
      <w:r w:rsidRPr="00DD7072">
        <w:rPr>
          <w:rFonts w:ascii="Arial" w:hAnsi="Arial" w:cs="Arial"/>
          <w:color w:val="FF0000"/>
        </w:rPr>
        <w:t xml:space="preserve"> </w:t>
      </w:r>
      <w:r w:rsidRPr="00DD7072">
        <w:rPr>
          <w:rFonts w:ascii="Arial" w:hAnsi="Arial" w:cs="Arial"/>
        </w:rPr>
        <w:t xml:space="preserve">(surface moyenne 50 m²) sur la période 2021-2026. </w:t>
      </w:r>
    </w:p>
    <w:p w14:paraId="398342DC" w14:textId="77777777" w:rsidR="00DD7072" w:rsidRPr="00DD7072" w:rsidRDefault="00DD7072" w:rsidP="001369D5">
      <w:pPr>
        <w:spacing w:after="120" w:line="240" w:lineRule="auto"/>
        <w:jc w:val="both"/>
        <w:rPr>
          <w:rFonts w:ascii="Arial" w:hAnsi="Arial" w:cs="Arial"/>
          <w:u w:val="single"/>
        </w:rPr>
      </w:pPr>
    </w:p>
    <w:p w14:paraId="00630727" w14:textId="58D9E06B" w:rsidR="00EE396D" w:rsidRPr="00DD7072" w:rsidRDefault="001369D5" w:rsidP="001369D5">
      <w:pPr>
        <w:spacing w:after="120" w:line="240" w:lineRule="auto"/>
        <w:jc w:val="both"/>
        <w:rPr>
          <w:rFonts w:ascii="Arial" w:hAnsi="Arial" w:cs="Arial"/>
        </w:rPr>
      </w:pPr>
      <w:r w:rsidRPr="00DD7072">
        <w:rPr>
          <w:rFonts w:ascii="Arial" w:hAnsi="Arial" w:cs="Arial"/>
          <w:u w:val="single"/>
        </w:rPr>
        <w:lastRenderedPageBreak/>
        <w:t>Les actionnaires</w:t>
      </w:r>
      <w:r w:rsidRPr="00DD7072">
        <w:rPr>
          <w:rFonts w:ascii="Arial" w:hAnsi="Arial" w:cs="Arial"/>
        </w:rPr>
        <w:t xml:space="preserve"> </w:t>
      </w:r>
      <w:r w:rsidR="00EE396D" w:rsidRPr="00DD7072">
        <w:rPr>
          <w:rFonts w:ascii="Arial" w:hAnsi="Arial" w:cs="Arial"/>
        </w:rPr>
        <w:t>:</w:t>
      </w:r>
    </w:p>
    <w:p w14:paraId="721610CC" w14:textId="085CE094" w:rsidR="00EE396D" w:rsidRPr="00DD7072" w:rsidRDefault="00EE396D" w:rsidP="00EE396D">
      <w:pPr>
        <w:pStyle w:val="Paragraphedeliste"/>
        <w:numPr>
          <w:ilvl w:val="1"/>
          <w:numId w:val="1"/>
        </w:numPr>
        <w:spacing w:after="0" w:line="240" w:lineRule="auto"/>
        <w:ind w:left="851"/>
        <w:jc w:val="both"/>
        <w:rPr>
          <w:rFonts w:ascii="Arial" w:hAnsi="Arial" w:cs="Arial"/>
        </w:rPr>
      </w:pPr>
      <w:r w:rsidRPr="00DD7072">
        <w:rPr>
          <w:rFonts w:ascii="Arial" w:hAnsi="Arial" w:cs="Arial"/>
        </w:rPr>
        <w:t xml:space="preserve">Région Normandie : 60%, soit 3 millions </w:t>
      </w:r>
      <w:r w:rsidR="001369D5" w:rsidRPr="00DD7072">
        <w:rPr>
          <w:rFonts w:ascii="Arial" w:hAnsi="Arial" w:cs="Arial"/>
        </w:rPr>
        <w:t>d’euros</w:t>
      </w:r>
    </w:p>
    <w:p w14:paraId="538F53B4" w14:textId="34EA27CC" w:rsidR="00EE396D" w:rsidRPr="00DD7072" w:rsidRDefault="00EE396D" w:rsidP="00EE396D">
      <w:pPr>
        <w:pStyle w:val="Paragraphedeliste"/>
        <w:numPr>
          <w:ilvl w:val="1"/>
          <w:numId w:val="1"/>
        </w:numPr>
        <w:spacing w:after="0" w:line="240" w:lineRule="auto"/>
        <w:ind w:left="851"/>
        <w:jc w:val="both"/>
        <w:rPr>
          <w:rFonts w:ascii="Arial" w:hAnsi="Arial" w:cs="Arial"/>
        </w:rPr>
      </w:pPr>
      <w:r w:rsidRPr="00DD7072">
        <w:rPr>
          <w:rFonts w:ascii="Arial" w:hAnsi="Arial" w:cs="Arial"/>
        </w:rPr>
        <w:t xml:space="preserve">SHEMA : 10%, soit 500 000 </w:t>
      </w:r>
      <w:r w:rsidR="001369D5" w:rsidRPr="00DD7072">
        <w:rPr>
          <w:rFonts w:ascii="Arial" w:hAnsi="Arial" w:cs="Arial"/>
        </w:rPr>
        <w:t>d’euros</w:t>
      </w:r>
    </w:p>
    <w:p w14:paraId="3C8AF057" w14:textId="6F3A6829" w:rsidR="00EE396D" w:rsidRPr="00DD7072" w:rsidRDefault="00EE396D" w:rsidP="00EE396D">
      <w:pPr>
        <w:pStyle w:val="Paragraphedeliste"/>
        <w:numPr>
          <w:ilvl w:val="1"/>
          <w:numId w:val="1"/>
        </w:numPr>
        <w:spacing w:after="0" w:line="240" w:lineRule="auto"/>
        <w:ind w:left="851"/>
        <w:jc w:val="both"/>
        <w:rPr>
          <w:rFonts w:ascii="Arial" w:hAnsi="Arial" w:cs="Arial"/>
        </w:rPr>
      </w:pPr>
      <w:r w:rsidRPr="00DD7072">
        <w:rPr>
          <w:rFonts w:ascii="Arial" w:hAnsi="Arial" w:cs="Arial"/>
        </w:rPr>
        <w:t xml:space="preserve">Normandie Participations : 10%, soit 500 000 </w:t>
      </w:r>
      <w:r w:rsidR="001369D5" w:rsidRPr="00DD7072">
        <w:rPr>
          <w:rFonts w:ascii="Arial" w:hAnsi="Arial" w:cs="Arial"/>
        </w:rPr>
        <w:t>euros</w:t>
      </w:r>
    </w:p>
    <w:p w14:paraId="39330C2D" w14:textId="6E2B4F3F" w:rsidR="00EE396D" w:rsidRPr="00DD7072" w:rsidRDefault="00EE396D" w:rsidP="00EE396D">
      <w:pPr>
        <w:pStyle w:val="Paragraphedeliste"/>
        <w:numPr>
          <w:ilvl w:val="1"/>
          <w:numId w:val="1"/>
        </w:numPr>
        <w:spacing w:after="0" w:line="240" w:lineRule="auto"/>
        <w:ind w:left="851"/>
        <w:jc w:val="both"/>
        <w:rPr>
          <w:rFonts w:ascii="Arial" w:hAnsi="Arial" w:cs="Arial"/>
        </w:rPr>
      </w:pPr>
      <w:r w:rsidRPr="00DD7072">
        <w:rPr>
          <w:rFonts w:ascii="Arial" w:hAnsi="Arial" w:cs="Arial"/>
        </w:rPr>
        <w:t xml:space="preserve">Caisse des dépôts et Consignations : 10%, soit 500 000 </w:t>
      </w:r>
      <w:r w:rsidR="001369D5" w:rsidRPr="00DD7072">
        <w:rPr>
          <w:rFonts w:ascii="Arial" w:hAnsi="Arial" w:cs="Arial"/>
        </w:rPr>
        <w:t>euros</w:t>
      </w:r>
    </w:p>
    <w:p w14:paraId="7666FAA1" w14:textId="1B258B7D" w:rsidR="00EE396D" w:rsidRPr="00DD7072" w:rsidRDefault="00EE396D" w:rsidP="00EE396D">
      <w:pPr>
        <w:pStyle w:val="Paragraphedeliste"/>
        <w:numPr>
          <w:ilvl w:val="1"/>
          <w:numId w:val="1"/>
        </w:numPr>
        <w:spacing w:after="0" w:line="240" w:lineRule="auto"/>
        <w:ind w:left="851"/>
        <w:jc w:val="both"/>
        <w:rPr>
          <w:rFonts w:ascii="Arial" w:hAnsi="Arial" w:cs="Arial"/>
        </w:rPr>
      </w:pPr>
      <w:r w:rsidRPr="00DD7072">
        <w:rPr>
          <w:rFonts w:ascii="Arial" w:hAnsi="Arial" w:cs="Arial"/>
        </w:rPr>
        <w:t xml:space="preserve">Caisse Epargne de Normandie : 3.5%, soit 175 000 </w:t>
      </w:r>
      <w:r w:rsidR="001369D5" w:rsidRPr="00DD7072">
        <w:rPr>
          <w:rFonts w:ascii="Arial" w:hAnsi="Arial" w:cs="Arial"/>
        </w:rPr>
        <w:t>euros</w:t>
      </w:r>
    </w:p>
    <w:p w14:paraId="67A9DBFC" w14:textId="2B86C9E0" w:rsidR="00EE396D" w:rsidRPr="00DD7072" w:rsidRDefault="00EE396D" w:rsidP="00EE396D">
      <w:pPr>
        <w:pStyle w:val="Paragraphedeliste"/>
        <w:numPr>
          <w:ilvl w:val="1"/>
          <w:numId w:val="1"/>
        </w:numPr>
        <w:spacing w:after="0" w:line="240" w:lineRule="auto"/>
        <w:ind w:left="851"/>
        <w:jc w:val="both"/>
        <w:rPr>
          <w:rFonts w:ascii="Arial" w:hAnsi="Arial" w:cs="Arial"/>
        </w:rPr>
      </w:pPr>
      <w:r w:rsidRPr="00DD7072">
        <w:rPr>
          <w:rFonts w:ascii="Arial" w:hAnsi="Arial" w:cs="Arial"/>
        </w:rPr>
        <w:t>EPF</w:t>
      </w:r>
      <w:r w:rsidR="00705E87" w:rsidRPr="00DD7072">
        <w:rPr>
          <w:rFonts w:ascii="Arial" w:hAnsi="Arial" w:cs="Arial"/>
        </w:rPr>
        <w:t xml:space="preserve"> Normandie</w:t>
      </w:r>
      <w:r w:rsidRPr="00DD7072">
        <w:rPr>
          <w:rFonts w:ascii="Arial" w:hAnsi="Arial" w:cs="Arial"/>
        </w:rPr>
        <w:t> : 3.25%, soit 162</w:t>
      </w:r>
      <w:r w:rsidR="001369D5" w:rsidRPr="00DD7072">
        <w:rPr>
          <w:rFonts w:ascii="Arial" w:hAnsi="Arial" w:cs="Arial"/>
        </w:rPr>
        <w:t> </w:t>
      </w:r>
      <w:r w:rsidRPr="00DD7072">
        <w:rPr>
          <w:rFonts w:ascii="Arial" w:hAnsi="Arial" w:cs="Arial"/>
        </w:rPr>
        <w:t>500</w:t>
      </w:r>
      <w:r w:rsidR="001369D5" w:rsidRPr="00DD7072">
        <w:rPr>
          <w:rFonts w:ascii="Arial" w:hAnsi="Arial" w:cs="Arial"/>
        </w:rPr>
        <w:t xml:space="preserve"> euros</w:t>
      </w:r>
    </w:p>
    <w:p w14:paraId="7A694928" w14:textId="08082887" w:rsidR="00EE396D" w:rsidRPr="00DD7072" w:rsidRDefault="00EE396D" w:rsidP="00EE396D">
      <w:pPr>
        <w:pStyle w:val="Paragraphedeliste"/>
        <w:numPr>
          <w:ilvl w:val="1"/>
          <w:numId w:val="1"/>
        </w:numPr>
        <w:spacing w:after="0" w:line="240" w:lineRule="auto"/>
        <w:ind w:left="851"/>
        <w:jc w:val="both"/>
        <w:rPr>
          <w:rFonts w:ascii="Arial" w:hAnsi="Arial" w:cs="Arial"/>
        </w:rPr>
      </w:pPr>
      <w:r w:rsidRPr="00DD7072">
        <w:rPr>
          <w:rFonts w:ascii="Arial" w:hAnsi="Arial" w:cs="Arial"/>
        </w:rPr>
        <w:t>Territoire et Habitat Normand : 3.25</w:t>
      </w:r>
      <w:r w:rsidR="001369D5" w:rsidRPr="00DD7072">
        <w:rPr>
          <w:rFonts w:ascii="Arial" w:hAnsi="Arial" w:cs="Arial"/>
        </w:rPr>
        <w:t xml:space="preserve"> </w:t>
      </w:r>
      <w:r w:rsidRPr="00DD7072">
        <w:rPr>
          <w:rFonts w:ascii="Arial" w:hAnsi="Arial" w:cs="Arial"/>
        </w:rPr>
        <w:t xml:space="preserve">%, soit 162 500 </w:t>
      </w:r>
      <w:r w:rsidR="001369D5" w:rsidRPr="00DD7072">
        <w:rPr>
          <w:rFonts w:ascii="Arial" w:hAnsi="Arial" w:cs="Arial"/>
        </w:rPr>
        <w:t>euros</w:t>
      </w:r>
    </w:p>
    <w:p w14:paraId="7119FBC5" w14:textId="77777777" w:rsidR="004656C0" w:rsidRPr="00DD7072" w:rsidRDefault="004656C0" w:rsidP="001369D5">
      <w:pPr>
        <w:autoSpaceDE w:val="0"/>
        <w:autoSpaceDN w:val="0"/>
        <w:adjustRightInd w:val="0"/>
        <w:spacing w:after="0" w:line="240" w:lineRule="auto"/>
        <w:rPr>
          <w:b/>
          <w:u w:val="single"/>
        </w:rPr>
      </w:pPr>
    </w:p>
    <w:p w14:paraId="26EAA66D" w14:textId="77777777" w:rsidR="004656C0" w:rsidRPr="00DD7072" w:rsidRDefault="004656C0" w:rsidP="004656C0">
      <w:pPr>
        <w:autoSpaceDE w:val="0"/>
        <w:autoSpaceDN w:val="0"/>
        <w:adjustRightInd w:val="0"/>
        <w:spacing w:after="0" w:line="240" w:lineRule="auto"/>
        <w:rPr>
          <w:rFonts w:ascii="Arial" w:hAnsi="Arial" w:cs="Arial"/>
        </w:rPr>
      </w:pPr>
      <w:r w:rsidRPr="00DD7072">
        <w:rPr>
          <w:rFonts w:ascii="Arial" w:hAnsi="Arial" w:cs="Arial"/>
          <w:u w:val="single"/>
        </w:rPr>
        <w:t>Le Conseil d’administration</w:t>
      </w:r>
      <w:r w:rsidRPr="00DD7072">
        <w:rPr>
          <w:rFonts w:ascii="Arial" w:hAnsi="Arial" w:cs="Arial"/>
        </w:rPr>
        <w:t> :</w:t>
      </w:r>
    </w:p>
    <w:p w14:paraId="4C4083C5" w14:textId="101F96D8" w:rsidR="004656C0" w:rsidRPr="00DD7072" w:rsidRDefault="004656C0" w:rsidP="004656C0">
      <w:pPr>
        <w:autoSpaceDE w:val="0"/>
        <w:autoSpaceDN w:val="0"/>
        <w:adjustRightInd w:val="0"/>
        <w:spacing w:after="0" w:line="240" w:lineRule="auto"/>
        <w:rPr>
          <w:rFonts w:ascii="Arial" w:hAnsi="Arial" w:cs="Arial"/>
        </w:rPr>
      </w:pPr>
      <w:r w:rsidRPr="00DD7072">
        <w:rPr>
          <w:rFonts w:ascii="Arial" w:hAnsi="Arial" w:cs="Arial"/>
        </w:rPr>
        <w:t xml:space="preserve"> </w:t>
      </w:r>
    </w:p>
    <w:p w14:paraId="107C5562" w14:textId="7A5FE77C" w:rsidR="004656C0" w:rsidRPr="00DD7072" w:rsidRDefault="004656C0" w:rsidP="004656C0">
      <w:pPr>
        <w:autoSpaceDE w:val="0"/>
        <w:autoSpaceDN w:val="0"/>
        <w:adjustRightInd w:val="0"/>
        <w:spacing w:after="120" w:line="240" w:lineRule="auto"/>
        <w:rPr>
          <w:rFonts w:ascii="Arial" w:hAnsi="Arial" w:cs="Arial"/>
        </w:rPr>
      </w:pPr>
      <w:r w:rsidRPr="00DD7072">
        <w:rPr>
          <w:rFonts w:ascii="Arial" w:hAnsi="Arial" w:cs="Arial"/>
        </w:rPr>
        <w:t>Présidé par Hervé Morin, le</w:t>
      </w:r>
      <w:r w:rsidR="001369D5" w:rsidRPr="00DD7072">
        <w:rPr>
          <w:rFonts w:ascii="Arial" w:hAnsi="Arial" w:cs="Arial"/>
        </w:rPr>
        <w:t xml:space="preserve"> Conseil d’administration est composé de 18 membres</w:t>
      </w:r>
      <w:r w:rsidRPr="00DD7072">
        <w:rPr>
          <w:rFonts w:ascii="Arial" w:hAnsi="Arial" w:cs="Arial"/>
        </w:rPr>
        <w:t xml:space="preserve"> dont : </w:t>
      </w:r>
    </w:p>
    <w:p w14:paraId="74316B65" w14:textId="33B850CE" w:rsidR="004656C0" w:rsidRPr="00DD7072" w:rsidRDefault="004656C0" w:rsidP="004656C0">
      <w:pPr>
        <w:pStyle w:val="Paragraphedeliste"/>
        <w:numPr>
          <w:ilvl w:val="0"/>
          <w:numId w:val="9"/>
        </w:numPr>
        <w:autoSpaceDE w:val="0"/>
        <w:autoSpaceDN w:val="0"/>
        <w:adjustRightInd w:val="0"/>
        <w:spacing w:after="0" w:line="240" w:lineRule="auto"/>
        <w:contextualSpacing w:val="0"/>
        <w:rPr>
          <w:rFonts w:ascii="Arial" w:hAnsi="Arial" w:cs="Arial"/>
        </w:rPr>
      </w:pPr>
      <w:r w:rsidRPr="00DD7072">
        <w:rPr>
          <w:rFonts w:ascii="Arial" w:hAnsi="Arial" w:cs="Arial"/>
        </w:rPr>
        <w:t>10 élus de la Région Normandie ;</w:t>
      </w:r>
    </w:p>
    <w:p w14:paraId="2D4CECC1" w14:textId="4100B2CC" w:rsidR="004656C0" w:rsidRPr="00DD7072" w:rsidRDefault="004656C0" w:rsidP="004656C0">
      <w:pPr>
        <w:pStyle w:val="Paragraphedeliste"/>
        <w:numPr>
          <w:ilvl w:val="0"/>
          <w:numId w:val="9"/>
        </w:numPr>
        <w:autoSpaceDE w:val="0"/>
        <w:autoSpaceDN w:val="0"/>
        <w:adjustRightInd w:val="0"/>
        <w:spacing w:after="0" w:line="240" w:lineRule="auto"/>
        <w:contextualSpacing w:val="0"/>
        <w:rPr>
          <w:rFonts w:ascii="Arial" w:hAnsi="Arial" w:cs="Arial"/>
        </w:rPr>
      </w:pPr>
      <w:proofErr w:type="gramStart"/>
      <w:r w:rsidRPr="00DD7072">
        <w:rPr>
          <w:rFonts w:ascii="Arial" w:hAnsi="Arial" w:cs="Arial"/>
        </w:rPr>
        <w:t>deux</w:t>
      </w:r>
      <w:proofErr w:type="gramEnd"/>
      <w:r w:rsidRPr="00DD7072">
        <w:rPr>
          <w:rFonts w:ascii="Arial" w:hAnsi="Arial" w:cs="Arial"/>
        </w:rPr>
        <w:t xml:space="preserve"> représentants de</w:t>
      </w:r>
      <w:r w:rsidR="001369D5" w:rsidRPr="00DD7072">
        <w:rPr>
          <w:rFonts w:ascii="Arial" w:hAnsi="Arial" w:cs="Arial"/>
        </w:rPr>
        <w:t xml:space="preserve"> la SHEMA</w:t>
      </w:r>
      <w:r w:rsidRPr="00DD7072">
        <w:rPr>
          <w:rFonts w:ascii="Arial" w:hAnsi="Arial" w:cs="Arial"/>
        </w:rPr>
        <w:t> ;</w:t>
      </w:r>
    </w:p>
    <w:p w14:paraId="31F4FE5E" w14:textId="0C6575CA" w:rsidR="004656C0" w:rsidRPr="00DD7072" w:rsidRDefault="004656C0" w:rsidP="004656C0">
      <w:pPr>
        <w:pStyle w:val="Paragraphedeliste"/>
        <w:numPr>
          <w:ilvl w:val="0"/>
          <w:numId w:val="9"/>
        </w:numPr>
        <w:autoSpaceDE w:val="0"/>
        <w:autoSpaceDN w:val="0"/>
        <w:adjustRightInd w:val="0"/>
        <w:spacing w:after="0" w:line="240" w:lineRule="auto"/>
        <w:contextualSpacing w:val="0"/>
        <w:rPr>
          <w:rFonts w:ascii="Arial" w:hAnsi="Arial" w:cs="Arial"/>
        </w:rPr>
      </w:pPr>
      <w:proofErr w:type="gramStart"/>
      <w:r w:rsidRPr="00DD7072">
        <w:rPr>
          <w:rFonts w:ascii="Arial" w:hAnsi="Arial" w:cs="Arial"/>
        </w:rPr>
        <w:t>un</w:t>
      </w:r>
      <w:proofErr w:type="gramEnd"/>
      <w:r w:rsidRPr="00DD7072">
        <w:rPr>
          <w:rFonts w:ascii="Arial" w:hAnsi="Arial" w:cs="Arial"/>
        </w:rPr>
        <w:t xml:space="preserve"> représentant de Normandie Participations ;</w:t>
      </w:r>
    </w:p>
    <w:p w14:paraId="71D55527" w14:textId="4BF69850" w:rsidR="004656C0" w:rsidRPr="00DD7072" w:rsidRDefault="004656C0" w:rsidP="004656C0">
      <w:pPr>
        <w:pStyle w:val="Paragraphedeliste"/>
        <w:numPr>
          <w:ilvl w:val="0"/>
          <w:numId w:val="9"/>
        </w:numPr>
        <w:autoSpaceDE w:val="0"/>
        <w:autoSpaceDN w:val="0"/>
        <w:adjustRightInd w:val="0"/>
        <w:spacing w:after="0" w:line="240" w:lineRule="auto"/>
        <w:contextualSpacing w:val="0"/>
        <w:rPr>
          <w:rFonts w:ascii="Arial" w:hAnsi="Arial" w:cs="Arial"/>
        </w:rPr>
      </w:pPr>
      <w:proofErr w:type="gramStart"/>
      <w:r w:rsidRPr="00DD7072">
        <w:rPr>
          <w:rFonts w:ascii="Arial" w:hAnsi="Arial" w:cs="Arial"/>
        </w:rPr>
        <w:t>deux</w:t>
      </w:r>
      <w:proofErr w:type="gramEnd"/>
      <w:r w:rsidRPr="00DD7072">
        <w:rPr>
          <w:rFonts w:ascii="Arial" w:hAnsi="Arial" w:cs="Arial"/>
        </w:rPr>
        <w:t xml:space="preserve"> représentants de </w:t>
      </w:r>
      <w:r w:rsidR="001369D5" w:rsidRPr="00DD7072">
        <w:rPr>
          <w:rFonts w:ascii="Arial" w:hAnsi="Arial" w:cs="Arial"/>
        </w:rPr>
        <w:t>la Caisse des Dépôts et Consignations</w:t>
      </w:r>
      <w:r w:rsidRPr="00DD7072">
        <w:rPr>
          <w:rFonts w:ascii="Arial" w:hAnsi="Arial" w:cs="Arial"/>
        </w:rPr>
        <w:t> ;</w:t>
      </w:r>
    </w:p>
    <w:p w14:paraId="76AFA28D" w14:textId="7A26762D" w:rsidR="004656C0" w:rsidRPr="00DD7072" w:rsidRDefault="004656C0" w:rsidP="004656C0">
      <w:pPr>
        <w:pStyle w:val="Paragraphedeliste"/>
        <w:numPr>
          <w:ilvl w:val="0"/>
          <w:numId w:val="9"/>
        </w:numPr>
        <w:autoSpaceDE w:val="0"/>
        <w:autoSpaceDN w:val="0"/>
        <w:adjustRightInd w:val="0"/>
        <w:spacing w:after="0" w:line="240" w:lineRule="auto"/>
        <w:contextualSpacing w:val="0"/>
        <w:rPr>
          <w:rFonts w:ascii="Arial" w:hAnsi="Arial" w:cs="Arial"/>
        </w:rPr>
      </w:pPr>
      <w:proofErr w:type="gramStart"/>
      <w:r w:rsidRPr="00DD7072">
        <w:rPr>
          <w:rFonts w:ascii="Arial" w:hAnsi="Arial" w:cs="Arial"/>
        </w:rPr>
        <w:t>un</w:t>
      </w:r>
      <w:proofErr w:type="gramEnd"/>
      <w:r w:rsidRPr="00DD7072">
        <w:rPr>
          <w:rFonts w:ascii="Arial" w:hAnsi="Arial" w:cs="Arial"/>
        </w:rPr>
        <w:t xml:space="preserve"> représentant de la </w:t>
      </w:r>
      <w:r w:rsidR="001369D5" w:rsidRPr="00DD7072">
        <w:rPr>
          <w:rFonts w:ascii="Arial" w:hAnsi="Arial" w:cs="Arial"/>
        </w:rPr>
        <w:t>Caisse d’Épargne Normandie</w:t>
      </w:r>
      <w:r w:rsidRPr="00DD7072">
        <w:rPr>
          <w:rFonts w:ascii="Arial" w:hAnsi="Arial" w:cs="Arial"/>
        </w:rPr>
        <w:t> ;</w:t>
      </w:r>
    </w:p>
    <w:p w14:paraId="13B37AFA" w14:textId="7AEFDC99" w:rsidR="004656C0" w:rsidRPr="00DD7072" w:rsidRDefault="004656C0" w:rsidP="004656C0">
      <w:pPr>
        <w:pStyle w:val="Paragraphedeliste"/>
        <w:numPr>
          <w:ilvl w:val="0"/>
          <w:numId w:val="9"/>
        </w:numPr>
        <w:autoSpaceDE w:val="0"/>
        <w:autoSpaceDN w:val="0"/>
        <w:adjustRightInd w:val="0"/>
        <w:spacing w:after="0" w:line="240" w:lineRule="auto"/>
        <w:contextualSpacing w:val="0"/>
        <w:rPr>
          <w:rFonts w:ascii="Arial" w:hAnsi="Arial" w:cs="Arial"/>
        </w:rPr>
      </w:pPr>
      <w:proofErr w:type="gramStart"/>
      <w:r w:rsidRPr="00DD7072">
        <w:rPr>
          <w:rFonts w:ascii="Arial" w:hAnsi="Arial" w:cs="Arial"/>
        </w:rPr>
        <w:t>un</w:t>
      </w:r>
      <w:proofErr w:type="gramEnd"/>
      <w:r w:rsidRPr="00DD7072">
        <w:rPr>
          <w:rFonts w:ascii="Arial" w:hAnsi="Arial" w:cs="Arial"/>
        </w:rPr>
        <w:t xml:space="preserve"> </w:t>
      </w:r>
      <w:bookmarkStart w:id="1" w:name="_Hlk68880422"/>
      <w:r w:rsidRPr="00DD7072">
        <w:rPr>
          <w:rFonts w:ascii="Arial" w:hAnsi="Arial" w:cs="Arial"/>
        </w:rPr>
        <w:t xml:space="preserve">représentant de </w:t>
      </w:r>
      <w:r w:rsidR="001369D5" w:rsidRPr="00DD7072">
        <w:rPr>
          <w:rFonts w:ascii="Arial" w:hAnsi="Arial" w:cs="Arial"/>
        </w:rPr>
        <w:t>l’EPF Normandie</w:t>
      </w:r>
      <w:r w:rsidRPr="00DD7072">
        <w:rPr>
          <w:rFonts w:ascii="Arial" w:hAnsi="Arial" w:cs="Arial"/>
        </w:rPr>
        <w:t> ;</w:t>
      </w:r>
    </w:p>
    <w:p w14:paraId="3B9CB1BB" w14:textId="7C0FDA03" w:rsidR="004656C0" w:rsidRPr="00DD7072" w:rsidRDefault="004656C0" w:rsidP="004656C0">
      <w:pPr>
        <w:pStyle w:val="Paragraphedeliste"/>
        <w:numPr>
          <w:ilvl w:val="0"/>
          <w:numId w:val="9"/>
        </w:numPr>
        <w:autoSpaceDE w:val="0"/>
        <w:autoSpaceDN w:val="0"/>
        <w:adjustRightInd w:val="0"/>
        <w:spacing w:after="0" w:line="240" w:lineRule="auto"/>
        <w:contextualSpacing w:val="0"/>
        <w:rPr>
          <w:rFonts w:ascii="Arial" w:hAnsi="Arial" w:cs="Arial"/>
        </w:rPr>
      </w:pPr>
      <w:proofErr w:type="gramStart"/>
      <w:r w:rsidRPr="00DD7072">
        <w:rPr>
          <w:rFonts w:ascii="Arial" w:hAnsi="Arial" w:cs="Arial"/>
        </w:rPr>
        <w:t>un</w:t>
      </w:r>
      <w:proofErr w:type="gramEnd"/>
      <w:r w:rsidRPr="00DD7072">
        <w:rPr>
          <w:rFonts w:ascii="Arial" w:hAnsi="Arial" w:cs="Arial"/>
        </w:rPr>
        <w:t xml:space="preserve"> représentant de </w:t>
      </w:r>
      <w:r w:rsidR="001369D5" w:rsidRPr="00DD7072">
        <w:rPr>
          <w:rFonts w:ascii="Arial" w:hAnsi="Arial" w:cs="Arial"/>
        </w:rPr>
        <w:t>Territoire et Habitat Normand</w:t>
      </w:r>
      <w:r w:rsidRPr="00DD7072">
        <w:rPr>
          <w:rFonts w:ascii="Arial" w:hAnsi="Arial" w:cs="Arial"/>
        </w:rPr>
        <w:t xml:space="preserve">. </w:t>
      </w:r>
    </w:p>
    <w:bookmarkEnd w:id="1"/>
    <w:p w14:paraId="75322B02" w14:textId="06B3643A" w:rsidR="004656C0" w:rsidRDefault="004656C0" w:rsidP="004656C0">
      <w:pPr>
        <w:spacing w:after="0" w:line="240" w:lineRule="auto"/>
        <w:jc w:val="both"/>
        <w:rPr>
          <w:rFonts w:ascii="Arial" w:hAnsi="Arial" w:cs="Arial"/>
          <w:szCs w:val="20"/>
          <w:lang w:eastAsia="fr-FR"/>
        </w:rPr>
      </w:pPr>
    </w:p>
    <w:p w14:paraId="7BD33A2E" w14:textId="77777777" w:rsidR="004656C0" w:rsidRPr="00A26BC7" w:rsidRDefault="004656C0" w:rsidP="004656C0">
      <w:pPr>
        <w:spacing w:after="0" w:line="240" w:lineRule="auto"/>
        <w:jc w:val="both"/>
        <w:rPr>
          <w:rFonts w:ascii="Arial" w:hAnsi="Arial" w:cs="Arial"/>
          <w:sz w:val="20"/>
          <w:szCs w:val="20"/>
          <w:lang w:eastAsia="fr-FR"/>
        </w:rPr>
      </w:pPr>
    </w:p>
    <w:p w14:paraId="2BBB160B" w14:textId="77777777" w:rsidR="00A26BC7" w:rsidRPr="00A26BC7" w:rsidRDefault="00A26BC7" w:rsidP="00A26BC7">
      <w:pPr>
        <w:autoSpaceDE w:val="0"/>
        <w:autoSpaceDN w:val="0"/>
        <w:adjustRightInd w:val="0"/>
        <w:spacing w:after="0" w:line="240" w:lineRule="auto"/>
        <w:jc w:val="both"/>
        <w:rPr>
          <w:rFonts w:ascii="Arial" w:hAnsi="Arial" w:cs="Arial"/>
        </w:rPr>
      </w:pPr>
      <w:r w:rsidRPr="00A26BC7">
        <w:rPr>
          <w:rFonts w:ascii="Arial" w:hAnsi="Arial" w:cs="Arial"/>
        </w:rPr>
        <w:t>Pour la Banque des Territoires, cet investissement en fonds propres au capital de Foncière Normandie s’inscrit dans le cadre de son Plan de relance commerce. Au national, elle mobilise 300 M€ pour faciliter le déploieme</w:t>
      </w:r>
      <w:bookmarkStart w:id="2" w:name="_GoBack"/>
      <w:bookmarkEnd w:id="2"/>
      <w:r w:rsidRPr="00A26BC7">
        <w:rPr>
          <w:rFonts w:ascii="Arial" w:hAnsi="Arial" w:cs="Arial"/>
        </w:rPr>
        <w:t xml:space="preserve">nt de 100 foncières sur cinq ans, partout en France, y compris dans les petites villes et les bourgs ruraux au bénéfice de territoires plus attractifs.  </w:t>
      </w:r>
    </w:p>
    <w:p w14:paraId="49250DBB" w14:textId="77777777" w:rsidR="00A26BC7" w:rsidRDefault="00A26BC7" w:rsidP="00A26BC7">
      <w:pPr>
        <w:rPr>
          <w:rFonts w:ascii="Arial" w:hAnsi="Arial" w:cs="Arial"/>
          <w:b/>
          <w:color w:val="FF0000"/>
        </w:rPr>
      </w:pPr>
    </w:p>
    <w:p w14:paraId="0626D199" w14:textId="77777777" w:rsidR="00A26BC7" w:rsidRPr="002F03C5" w:rsidRDefault="00A26BC7" w:rsidP="00A26BC7">
      <w:pPr>
        <w:rPr>
          <w:rFonts w:ascii="Arial" w:hAnsi="Arial" w:cs="Arial"/>
          <w:sz w:val="23"/>
          <w:szCs w:val="23"/>
          <w:u w:val="single"/>
        </w:rPr>
      </w:pPr>
    </w:p>
    <w:p w14:paraId="2200FFA8" w14:textId="6910185E" w:rsidR="00A26BC7" w:rsidRPr="002F03C5" w:rsidRDefault="00A26BC7" w:rsidP="00A26BC7">
      <w:pPr>
        <w:spacing w:after="0" w:line="240" w:lineRule="auto"/>
        <w:rPr>
          <w:rFonts w:ascii="Arial" w:hAnsi="Arial" w:cs="Arial"/>
          <w:sz w:val="21"/>
          <w:szCs w:val="21"/>
        </w:rPr>
      </w:pPr>
      <w:r w:rsidRPr="002F03C5">
        <w:rPr>
          <w:rFonts w:ascii="Arial" w:hAnsi="Arial" w:cs="Arial"/>
          <w:sz w:val="21"/>
          <w:szCs w:val="21"/>
          <w:u w:val="single"/>
        </w:rPr>
        <w:t>Contacts presse</w:t>
      </w:r>
      <w:r w:rsidRPr="002F03C5">
        <w:rPr>
          <w:rFonts w:ascii="Arial" w:hAnsi="Arial" w:cs="Arial"/>
          <w:sz w:val="21"/>
          <w:szCs w:val="21"/>
        </w:rPr>
        <w:t> :</w:t>
      </w:r>
    </w:p>
    <w:p w14:paraId="2983C044" w14:textId="77777777" w:rsidR="00A26BC7" w:rsidRPr="0097640C" w:rsidRDefault="00A26BC7" w:rsidP="00A26BC7">
      <w:pPr>
        <w:spacing w:after="0" w:line="240" w:lineRule="auto"/>
        <w:rPr>
          <w:rFonts w:ascii="Arial" w:hAnsi="Arial" w:cs="Arial"/>
          <w:b/>
          <w:sz w:val="21"/>
          <w:szCs w:val="21"/>
        </w:rPr>
      </w:pPr>
    </w:p>
    <w:p w14:paraId="18237749" w14:textId="77777777" w:rsidR="00A26BC7" w:rsidRPr="0097640C" w:rsidRDefault="00A26BC7" w:rsidP="00A26BC7">
      <w:pPr>
        <w:spacing w:after="0" w:line="240" w:lineRule="auto"/>
        <w:jc w:val="both"/>
        <w:rPr>
          <w:rFonts w:ascii="Arial" w:hAnsi="Arial" w:cs="Arial"/>
          <w:sz w:val="21"/>
          <w:szCs w:val="21"/>
          <w:lang w:eastAsia="fr-FR"/>
        </w:rPr>
      </w:pPr>
      <w:r w:rsidRPr="0097640C">
        <w:rPr>
          <w:rFonts w:ascii="Arial" w:hAnsi="Arial" w:cs="Arial"/>
          <w:sz w:val="21"/>
          <w:szCs w:val="21"/>
          <w:lang w:eastAsia="fr-FR"/>
        </w:rPr>
        <w:t xml:space="preserve">Région Normandie : </w:t>
      </w:r>
    </w:p>
    <w:p w14:paraId="4B4FB44E" w14:textId="27A73773" w:rsidR="00A26BC7" w:rsidRPr="0097640C" w:rsidRDefault="00A26BC7" w:rsidP="00A26BC7">
      <w:pPr>
        <w:spacing w:after="0" w:line="240" w:lineRule="auto"/>
        <w:jc w:val="both"/>
        <w:rPr>
          <w:rStyle w:val="Lienhypertexte"/>
          <w:rFonts w:ascii="Arial" w:hAnsi="Arial" w:cs="Arial"/>
          <w:color w:val="auto"/>
          <w:sz w:val="21"/>
          <w:szCs w:val="21"/>
          <w:u w:val="none"/>
          <w:lang w:eastAsia="fr-FR"/>
        </w:rPr>
      </w:pPr>
      <w:r w:rsidRPr="0097640C">
        <w:rPr>
          <w:rFonts w:ascii="Arial" w:hAnsi="Arial" w:cs="Arial"/>
          <w:sz w:val="21"/>
          <w:szCs w:val="21"/>
          <w:lang w:eastAsia="fr-FR"/>
        </w:rPr>
        <w:t xml:space="preserve">Charlotte CHANTELOUP - 06 42 08 11 68 - </w:t>
      </w:r>
      <w:hyperlink r:id="rId14" w:history="1">
        <w:r w:rsidRPr="0097640C">
          <w:rPr>
            <w:rStyle w:val="Lienhypertexte"/>
            <w:rFonts w:ascii="Arial" w:hAnsi="Arial" w:cs="Arial"/>
            <w:sz w:val="21"/>
            <w:szCs w:val="21"/>
            <w:lang w:eastAsia="fr-FR"/>
          </w:rPr>
          <w:t>charlotte.chanteloup@normandie.fr</w:t>
        </w:r>
      </w:hyperlink>
    </w:p>
    <w:p w14:paraId="4BC4FFB5" w14:textId="77777777" w:rsidR="00A26BC7" w:rsidRPr="0097640C" w:rsidRDefault="00A26BC7" w:rsidP="00A26BC7">
      <w:pPr>
        <w:spacing w:after="0" w:line="240" w:lineRule="auto"/>
        <w:jc w:val="both"/>
        <w:rPr>
          <w:rStyle w:val="lev"/>
          <w:rFonts w:ascii="Arial" w:hAnsi="Arial" w:cs="Arial"/>
          <w:sz w:val="21"/>
          <w:szCs w:val="21"/>
        </w:rPr>
      </w:pPr>
    </w:p>
    <w:p w14:paraId="5F92A7C1" w14:textId="4FF09897" w:rsidR="00A26BC7" w:rsidRPr="0097640C" w:rsidRDefault="00A26BC7" w:rsidP="00A26BC7">
      <w:pPr>
        <w:spacing w:after="0"/>
        <w:jc w:val="both"/>
        <w:rPr>
          <w:rFonts w:ascii="Arial" w:hAnsi="Arial" w:cs="Arial"/>
          <w:sz w:val="21"/>
          <w:szCs w:val="21"/>
        </w:rPr>
      </w:pPr>
      <w:r w:rsidRPr="0097640C">
        <w:rPr>
          <w:rStyle w:val="lev"/>
          <w:rFonts w:ascii="Arial" w:hAnsi="Arial" w:cs="Arial"/>
          <w:b w:val="0"/>
          <w:sz w:val="21"/>
          <w:szCs w:val="21"/>
        </w:rPr>
        <w:t>Banque des Territoires Normandie –</w:t>
      </w:r>
      <w:r w:rsidRPr="0097640C">
        <w:rPr>
          <w:rStyle w:val="lev"/>
          <w:rFonts w:ascii="Arial" w:hAnsi="Arial" w:cs="Arial"/>
          <w:sz w:val="21"/>
          <w:szCs w:val="21"/>
        </w:rPr>
        <w:t xml:space="preserve"> </w:t>
      </w:r>
      <w:r w:rsidRPr="0097640C">
        <w:rPr>
          <w:rFonts w:ascii="Arial" w:hAnsi="Arial" w:cs="Arial"/>
          <w:sz w:val="21"/>
          <w:szCs w:val="21"/>
        </w:rPr>
        <w:t>Groupe Caisse des Dépôts :</w:t>
      </w:r>
    </w:p>
    <w:p w14:paraId="183A91A0" w14:textId="77777777" w:rsidR="00A26BC7" w:rsidRPr="0097640C" w:rsidRDefault="00A26BC7" w:rsidP="00A26BC7">
      <w:pPr>
        <w:spacing w:after="0"/>
        <w:jc w:val="both"/>
        <w:rPr>
          <w:rFonts w:ascii="Arial" w:hAnsi="Arial" w:cs="Arial"/>
          <w:sz w:val="21"/>
          <w:szCs w:val="21"/>
        </w:rPr>
      </w:pPr>
      <w:r w:rsidRPr="0097640C">
        <w:rPr>
          <w:rFonts w:ascii="Arial" w:hAnsi="Arial" w:cs="Arial"/>
          <w:sz w:val="21"/>
          <w:szCs w:val="21"/>
        </w:rPr>
        <w:t xml:space="preserve">Fanny Thomas : – 02.35.15.65.05 - fanny.thomas@caissedesdepots.fr </w:t>
      </w:r>
    </w:p>
    <w:p w14:paraId="19F159EE" w14:textId="77777777" w:rsidR="00A26BC7" w:rsidRPr="0097640C" w:rsidRDefault="00A26BC7" w:rsidP="00A26BC7">
      <w:pPr>
        <w:spacing w:after="0"/>
        <w:jc w:val="both"/>
        <w:rPr>
          <w:rFonts w:ascii="Arial" w:hAnsi="Arial" w:cs="Arial"/>
          <w:sz w:val="21"/>
          <w:szCs w:val="21"/>
          <w:lang w:eastAsia="fr-FR"/>
        </w:rPr>
      </w:pPr>
      <w:r w:rsidRPr="0097640C">
        <w:rPr>
          <w:rFonts w:ascii="Arial" w:hAnsi="Arial" w:cs="Arial"/>
          <w:noProof/>
          <w:sz w:val="21"/>
          <w:szCs w:val="21"/>
        </w:rPr>
        <w:drawing>
          <wp:inline distT="0" distB="0" distL="0" distR="0" wp14:anchorId="1EA4A8C6" wp14:editId="2DEB7EC9">
            <wp:extent cx="129540" cy="103505"/>
            <wp:effectExtent l="0" t="0" r="381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540" cy="103505"/>
                    </a:xfrm>
                    <a:prstGeom prst="rect">
                      <a:avLst/>
                    </a:prstGeom>
                    <a:noFill/>
                    <a:ln>
                      <a:noFill/>
                    </a:ln>
                  </pic:spPr>
                </pic:pic>
              </a:graphicData>
            </a:graphic>
          </wp:inline>
        </w:drawing>
      </w:r>
      <w:r w:rsidRPr="0097640C">
        <w:rPr>
          <w:rFonts w:ascii="Arial" w:hAnsi="Arial" w:cs="Arial"/>
          <w:sz w:val="21"/>
          <w:szCs w:val="21"/>
        </w:rPr>
        <w:t xml:space="preserve"> @</w:t>
      </w:r>
      <w:proofErr w:type="spellStart"/>
      <w:r w:rsidRPr="0097640C">
        <w:rPr>
          <w:rFonts w:ascii="Arial" w:hAnsi="Arial" w:cs="Arial"/>
          <w:sz w:val="21"/>
          <w:szCs w:val="21"/>
        </w:rPr>
        <w:fldChar w:fldCharType="begin"/>
      </w:r>
      <w:r w:rsidRPr="0097640C">
        <w:rPr>
          <w:rFonts w:ascii="Arial" w:hAnsi="Arial" w:cs="Arial"/>
          <w:sz w:val="21"/>
          <w:szCs w:val="21"/>
        </w:rPr>
        <w:instrText xml:space="preserve"> HYPERLINK "https://twitter.com/BanqueDesTerr?lang=fr" </w:instrText>
      </w:r>
      <w:r w:rsidRPr="0097640C">
        <w:rPr>
          <w:rFonts w:ascii="Arial" w:hAnsi="Arial" w:cs="Arial"/>
          <w:sz w:val="21"/>
          <w:szCs w:val="21"/>
        </w:rPr>
        <w:fldChar w:fldCharType="separate"/>
      </w:r>
      <w:r w:rsidRPr="0097640C">
        <w:rPr>
          <w:rStyle w:val="Lienhypertexte"/>
          <w:rFonts w:ascii="Arial" w:hAnsi="Arial" w:cs="Arial"/>
          <w:color w:val="auto"/>
          <w:sz w:val="21"/>
          <w:szCs w:val="21"/>
        </w:rPr>
        <w:t>BdT_Normandie</w:t>
      </w:r>
      <w:proofErr w:type="spellEnd"/>
      <w:r w:rsidRPr="0097640C">
        <w:rPr>
          <w:rStyle w:val="Lienhypertexte"/>
          <w:rFonts w:ascii="Arial" w:hAnsi="Arial" w:cs="Arial"/>
          <w:color w:val="auto"/>
          <w:sz w:val="21"/>
          <w:szCs w:val="21"/>
        </w:rPr>
        <w:fldChar w:fldCharType="end"/>
      </w:r>
    </w:p>
    <w:p w14:paraId="5B13B8C8" w14:textId="77777777" w:rsidR="00A26BC7" w:rsidRDefault="00A26BC7" w:rsidP="00A26BC7"/>
    <w:p w14:paraId="690D925D" w14:textId="77777777" w:rsidR="004656C0" w:rsidRDefault="004656C0" w:rsidP="004656C0">
      <w:pPr>
        <w:spacing w:after="0" w:line="240" w:lineRule="auto"/>
        <w:jc w:val="both"/>
        <w:rPr>
          <w:rFonts w:ascii="Arial" w:hAnsi="Arial" w:cs="Arial"/>
          <w:shd w:val="clear" w:color="auto" w:fill="FDFDFC"/>
          <w:lang w:eastAsia="fr-FR"/>
        </w:rPr>
      </w:pPr>
    </w:p>
    <w:tbl>
      <w:tblPr>
        <w:tblW w:w="5789" w:type="dxa"/>
        <w:tblCellMar>
          <w:left w:w="0" w:type="dxa"/>
          <w:right w:w="0" w:type="dxa"/>
        </w:tblCellMar>
        <w:tblLook w:val="04A0" w:firstRow="1" w:lastRow="0" w:firstColumn="1" w:lastColumn="0" w:noHBand="0" w:noVBand="1"/>
      </w:tblPr>
      <w:tblGrid>
        <w:gridCol w:w="5789"/>
      </w:tblGrid>
      <w:tr w:rsidR="004656C0" w14:paraId="543D2D7F" w14:textId="77777777" w:rsidTr="004656C0">
        <w:tc>
          <w:tcPr>
            <w:tcW w:w="5789" w:type="dxa"/>
            <w:tcMar>
              <w:top w:w="0" w:type="dxa"/>
              <w:left w:w="108" w:type="dxa"/>
              <w:bottom w:w="0" w:type="dxa"/>
              <w:right w:w="108" w:type="dxa"/>
            </w:tcMar>
            <w:hideMark/>
          </w:tcPr>
          <w:p w14:paraId="538F739B" w14:textId="060EEE17" w:rsidR="004656C0" w:rsidRDefault="004656C0">
            <w:pPr>
              <w:spacing w:after="0" w:line="240" w:lineRule="auto"/>
              <w:rPr>
                <w:rFonts w:ascii="Arial" w:hAnsi="Arial" w:cs="Arial"/>
                <w:sz w:val="20"/>
                <w:szCs w:val="20"/>
                <w:shd w:val="clear" w:color="auto" w:fill="FDFDFC"/>
                <w:lang w:eastAsia="fr-FR"/>
              </w:rPr>
            </w:pPr>
          </w:p>
        </w:tc>
      </w:tr>
      <w:bookmarkEnd w:id="0"/>
    </w:tbl>
    <w:p w14:paraId="17601731" w14:textId="77777777" w:rsidR="004656C0" w:rsidRDefault="004656C0"/>
    <w:sectPr w:rsidR="004656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IDFont+F2">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6">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B4200"/>
    <w:multiLevelType w:val="hybridMultilevel"/>
    <w:tmpl w:val="3F54EF9A"/>
    <w:lvl w:ilvl="0" w:tplc="F702C038">
      <w:start w:val="42"/>
      <w:numFmt w:val="bullet"/>
      <w:lvlText w:val="-"/>
      <w:lvlJc w:val="left"/>
      <w:pPr>
        <w:ind w:left="720" w:hanging="360"/>
      </w:pPr>
      <w:rPr>
        <w:rFonts w:ascii="CIDFont+F2" w:eastAsiaTheme="minorHAnsi" w:hAnsi="CIDFont+F2" w:cs="CIDFont+F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651FDA"/>
    <w:multiLevelType w:val="hybridMultilevel"/>
    <w:tmpl w:val="68AE5B50"/>
    <w:lvl w:ilvl="0" w:tplc="F702C038">
      <w:start w:val="42"/>
      <w:numFmt w:val="bullet"/>
      <w:lvlText w:val="-"/>
      <w:lvlJc w:val="left"/>
      <w:pPr>
        <w:ind w:left="720" w:hanging="360"/>
      </w:pPr>
      <w:rPr>
        <w:rFonts w:ascii="CIDFont+F2" w:eastAsiaTheme="minorHAnsi" w:hAnsi="CIDFont+F2" w:cs="CIDFont+F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C607F0"/>
    <w:multiLevelType w:val="hybridMultilevel"/>
    <w:tmpl w:val="0090E3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062A3D"/>
    <w:multiLevelType w:val="hybridMultilevel"/>
    <w:tmpl w:val="4462BB48"/>
    <w:lvl w:ilvl="0" w:tplc="F702C038">
      <w:start w:val="42"/>
      <w:numFmt w:val="bullet"/>
      <w:lvlText w:val="-"/>
      <w:lvlJc w:val="left"/>
      <w:pPr>
        <w:ind w:left="720" w:hanging="360"/>
      </w:pPr>
      <w:rPr>
        <w:rFonts w:ascii="CIDFont+F2" w:eastAsiaTheme="minorHAnsi" w:hAnsi="CIDFont+F2" w:cs="CIDFont+F2" w:hint="default"/>
      </w:rPr>
    </w:lvl>
    <w:lvl w:ilvl="1" w:tplc="24F651DC">
      <w:numFmt w:val="bullet"/>
      <w:lvlText w:val=""/>
      <w:lvlJc w:val="left"/>
      <w:pPr>
        <w:ind w:left="1440" w:hanging="360"/>
      </w:pPr>
      <w:rPr>
        <w:rFonts w:ascii="Symbol" w:eastAsiaTheme="minorHAnsi" w:hAnsi="Symbol" w:cs="CIDFont+F6"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6621C3"/>
    <w:multiLevelType w:val="hybridMultilevel"/>
    <w:tmpl w:val="C99620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82B580B"/>
    <w:multiLevelType w:val="hybridMultilevel"/>
    <w:tmpl w:val="35BE3644"/>
    <w:lvl w:ilvl="0" w:tplc="4FC00A20">
      <w:numFmt w:val="bullet"/>
      <w:lvlText w:val=""/>
      <w:lvlJc w:val="left"/>
      <w:pPr>
        <w:ind w:left="720" w:hanging="360"/>
      </w:pPr>
      <w:rPr>
        <w:rFonts w:ascii="Wingdings" w:eastAsia="Times New Roman" w:hAnsi="Wingdings" w:cs="Times New Roman" w:hint="default"/>
        <w:strike w:val="0"/>
        <w:dstrike w:val="0"/>
        <w:sz w:val="24"/>
        <w:szCs w:val="24"/>
        <w:u w:val="none"/>
        <w:effect w:val="none"/>
      </w:rPr>
    </w:lvl>
    <w:lvl w:ilvl="1" w:tplc="040C0005">
      <w:start w:val="1"/>
      <w:numFmt w:val="bullet"/>
      <w:lvlText w:val=""/>
      <w:lvlJc w:val="left"/>
      <w:pPr>
        <w:ind w:left="1440" w:hanging="360"/>
      </w:pPr>
      <w:rPr>
        <w:rFonts w:ascii="Wingdings" w:hAnsi="Wingdings" w:hint="default"/>
        <w:sz w:val="24"/>
        <w:szCs w:val="24"/>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9B869B1"/>
    <w:multiLevelType w:val="hybridMultilevel"/>
    <w:tmpl w:val="05AE666E"/>
    <w:lvl w:ilvl="0" w:tplc="F702C038">
      <w:start w:val="42"/>
      <w:numFmt w:val="bullet"/>
      <w:lvlText w:val="-"/>
      <w:lvlJc w:val="left"/>
      <w:pPr>
        <w:ind w:left="720" w:hanging="360"/>
      </w:pPr>
      <w:rPr>
        <w:rFonts w:ascii="CIDFont+F2" w:eastAsiaTheme="minorHAnsi" w:hAnsi="CIDFont+F2" w:cs="CIDFont+F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724DFB"/>
    <w:multiLevelType w:val="hybridMultilevel"/>
    <w:tmpl w:val="4FAA89F0"/>
    <w:lvl w:ilvl="0" w:tplc="F702C038">
      <w:start w:val="42"/>
      <w:numFmt w:val="bullet"/>
      <w:lvlText w:val="-"/>
      <w:lvlJc w:val="left"/>
      <w:pPr>
        <w:ind w:left="720" w:hanging="360"/>
      </w:pPr>
      <w:rPr>
        <w:rFonts w:ascii="CIDFont+F2" w:eastAsiaTheme="minorHAnsi" w:hAnsi="CIDFont+F2" w:cs="CIDFont+F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3"/>
  </w:num>
  <w:num w:numId="4">
    <w:abstractNumId w:val="7"/>
  </w:num>
  <w:num w:numId="5">
    <w:abstractNumId w:val="4"/>
  </w:num>
  <w:num w:numId="6">
    <w:abstractNumId w:val="0"/>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70"/>
    <w:rsid w:val="0003075C"/>
    <w:rsid w:val="000A4A15"/>
    <w:rsid w:val="00114525"/>
    <w:rsid w:val="00115442"/>
    <w:rsid w:val="001369D5"/>
    <w:rsid w:val="002F03C5"/>
    <w:rsid w:val="003D7685"/>
    <w:rsid w:val="004656C0"/>
    <w:rsid w:val="00520978"/>
    <w:rsid w:val="005D6433"/>
    <w:rsid w:val="00705E87"/>
    <w:rsid w:val="008829AD"/>
    <w:rsid w:val="0097640C"/>
    <w:rsid w:val="00A26BC7"/>
    <w:rsid w:val="00A720A4"/>
    <w:rsid w:val="00B46AA8"/>
    <w:rsid w:val="00C05800"/>
    <w:rsid w:val="00C653EF"/>
    <w:rsid w:val="00C9413A"/>
    <w:rsid w:val="00DD7072"/>
    <w:rsid w:val="00DF3C70"/>
    <w:rsid w:val="00EE396D"/>
    <w:rsid w:val="00F54034"/>
    <w:rsid w:val="00F61C60"/>
    <w:rsid w:val="00FA3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062A"/>
  <w15:chartTrackingRefBased/>
  <w15:docId w15:val="{D6B226F5-41F0-426E-90DC-E2BE86BE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96D"/>
    <w:pPr>
      <w:spacing w:after="200" w:line="276"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aliases w:val="Titre 1 Car1 Car,armelle Car Car,Paragraphe de liste num Car,Paragraphe de liste 1 Car,Sémaphores Puces Car,Puces Car,3 Car,POCG Table Text Car,Issue Action POC Car,List Paragraph1 Car,Dot pt Car,F5 List Paragraph Car,R1 Car"/>
    <w:basedOn w:val="Policepardfaut"/>
    <w:link w:val="Paragraphedeliste"/>
    <w:uiPriority w:val="34"/>
    <w:locked/>
    <w:rsid w:val="00EE396D"/>
  </w:style>
  <w:style w:type="paragraph" w:styleId="Paragraphedeliste">
    <w:name w:val="List Paragraph"/>
    <w:aliases w:val="Titre 1 Car1,armelle Car,Paragraphe de liste num,Paragraphe de liste 1,Sémaphores Puces,Puces,3,POCG Table Text,Issue Action POC,List Paragraph1,Dot pt,F5 List Paragraph,List Paragraph Char Char Char,Indicator Text,Numbered Para 1,R1"/>
    <w:basedOn w:val="Normal"/>
    <w:link w:val="ParagraphedelisteCar"/>
    <w:uiPriority w:val="34"/>
    <w:qFormat/>
    <w:rsid w:val="00EE396D"/>
    <w:pPr>
      <w:ind w:left="720"/>
      <w:contextualSpacing/>
    </w:pPr>
    <w:rPr>
      <w:rFonts w:asciiTheme="minorHAnsi" w:hAnsiTheme="minorHAnsi" w:cstheme="minorBidi"/>
    </w:rPr>
  </w:style>
  <w:style w:type="table" w:styleId="Grilledutableau">
    <w:name w:val="Table Grid"/>
    <w:basedOn w:val="TableauNormal"/>
    <w:uiPriority w:val="39"/>
    <w:rsid w:val="000A4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656C0"/>
    <w:rPr>
      <w:color w:val="0563C1"/>
      <w:u w:val="single"/>
    </w:rPr>
  </w:style>
  <w:style w:type="character" w:styleId="Mentionnonrsolue">
    <w:name w:val="Unresolved Mention"/>
    <w:basedOn w:val="Policepardfaut"/>
    <w:uiPriority w:val="99"/>
    <w:semiHidden/>
    <w:unhideWhenUsed/>
    <w:rsid w:val="004656C0"/>
    <w:rPr>
      <w:color w:val="605E5C"/>
      <w:shd w:val="clear" w:color="auto" w:fill="E1DFDD"/>
    </w:rPr>
  </w:style>
  <w:style w:type="character" w:styleId="lev">
    <w:name w:val="Strong"/>
    <w:uiPriority w:val="22"/>
    <w:qFormat/>
    <w:rsid w:val="00A26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123861">
      <w:bodyDiv w:val="1"/>
      <w:marLeft w:val="0"/>
      <w:marRight w:val="0"/>
      <w:marTop w:val="0"/>
      <w:marBottom w:val="0"/>
      <w:divBdr>
        <w:top w:val="none" w:sz="0" w:space="0" w:color="auto"/>
        <w:left w:val="none" w:sz="0" w:space="0" w:color="auto"/>
        <w:bottom w:val="none" w:sz="0" w:space="0" w:color="auto"/>
        <w:right w:val="none" w:sz="0" w:space="0" w:color="auto"/>
      </w:divBdr>
    </w:div>
    <w:div w:id="683747327">
      <w:bodyDiv w:val="1"/>
      <w:marLeft w:val="0"/>
      <w:marRight w:val="0"/>
      <w:marTop w:val="0"/>
      <w:marBottom w:val="0"/>
      <w:divBdr>
        <w:top w:val="none" w:sz="0" w:space="0" w:color="auto"/>
        <w:left w:val="none" w:sz="0" w:space="0" w:color="auto"/>
        <w:bottom w:val="none" w:sz="0" w:space="0" w:color="auto"/>
        <w:right w:val="none" w:sz="0" w:space="0" w:color="auto"/>
      </w:divBdr>
    </w:div>
    <w:div w:id="11545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3746</TotalTime>
  <Pages>2</Pages>
  <Words>683</Words>
  <Characters>3760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8</cp:revision>
  <dcterms:created xsi:type="dcterms:W3CDTF">2021-04-12T07:53:00Z</dcterms:created>
  <dcterms:modified xsi:type="dcterms:W3CDTF">2021-04-12T16:41:00Z</dcterms:modified>
</cp:coreProperties>
</file>