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E10ED" w14:textId="6E57F9F6" w:rsidR="00C653EF" w:rsidRDefault="00513123">
      <w:pPr>
        <w:rPr>
          <w:noProof/>
        </w:rPr>
      </w:pPr>
      <w:bookmarkStart w:id="0" w:name="_Hlk65780390"/>
      <w:r>
        <w:rPr>
          <w:noProof/>
        </w:rPr>
        <w:drawing>
          <wp:inline distT="0" distB="0" distL="0" distR="0" wp14:anchorId="63190D64" wp14:editId="513160B6">
            <wp:extent cx="5773420" cy="55499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73420" cy="554990"/>
                    </a:xfrm>
                    <a:prstGeom prst="rect">
                      <a:avLst/>
                    </a:prstGeom>
                    <a:noFill/>
                  </pic:spPr>
                </pic:pic>
              </a:graphicData>
            </a:graphic>
          </wp:inline>
        </w:drawing>
      </w:r>
    </w:p>
    <w:tbl>
      <w:tblPr>
        <w:tblW w:w="9493" w:type="dxa"/>
        <w:tblInd w:w="-142" w:type="dxa"/>
        <w:tblLayout w:type="fixed"/>
        <w:tblCellMar>
          <w:left w:w="0" w:type="dxa"/>
          <w:right w:w="0" w:type="dxa"/>
        </w:tblCellMar>
        <w:tblLook w:val="04A0" w:firstRow="1" w:lastRow="0" w:firstColumn="1" w:lastColumn="0" w:noHBand="0" w:noVBand="1"/>
      </w:tblPr>
      <w:tblGrid>
        <w:gridCol w:w="1130"/>
        <w:gridCol w:w="850"/>
        <w:gridCol w:w="1276"/>
        <w:gridCol w:w="1417"/>
        <w:gridCol w:w="1134"/>
        <w:gridCol w:w="1560"/>
        <w:gridCol w:w="2126"/>
      </w:tblGrid>
      <w:tr w:rsidR="00513123" w:rsidRPr="00513123" w14:paraId="6F7B0199" w14:textId="77777777" w:rsidTr="006E2314">
        <w:tc>
          <w:tcPr>
            <w:tcW w:w="1130" w:type="dxa"/>
            <w:tcMar>
              <w:top w:w="0" w:type="dxa"/>
              <w:left w:w="108" w:type="dxa"/>
              <w:bottom w:w="0" w:type="dxa"/>
              <w:right w:w="108" w:type="dxa"/>
            </w:tcMar>
            <w:vAlign w:val="center"/>
            <w:hideMark/>
          </w:tcPr>
          <w:p w14:paraId="7EB79DE7" w14:textId="77777777" w:rsidR="00513123" w:rsidRPr="00513123" w:rsidRDefault="00513123" w:rsidP="00513123">
            <w:pPr>
              <w:spacing w:after="0" w:line="240" w:lineRule="auto"/>
              <w:rPr>
                <w:rFonts w:ascii="Calibri" w:hAnsi="Calibri" w:cs="Calibri"/>
              </w:rPr>
            </w:pPr>
            <w:r w:rsidRPr="00513123">
              <w:rPr>
                <w:rFonts w:ascii="Calibri" w:hAnsi="Calibri" w:cs="Calibri"/>
                <w:noProof/>
              </w:rPr>
              <w:drawing>
                <wp:inline distT="0" distB="0" distL="0" distR="0" wp14:anchorId="21EDC552" wp14:editId="39B798E8">
                  <wp:extent cx="647700" cy="596519"/>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375" cy="611877"/>
                          </a:xfrm>
                          <a:prstGeom prst="rect">
                            <a:avLst/>
                          </a:prstGeom>
                          <a:noFill/>
                          <a:ln>
                            <a:noFill/>
                          </a:ln>
                        </pic:spPr>
                      </pic:pic>
                    </a:graphicData>
                  </a:graphic>
                </wp:inline>
              </w:drawing>
            </w:r>
          </w:p>
        </w:tc>
        <w:tc>
          <w:tcPr>
            <w:tcW w:w="850" w:type="dxa"/>
          </w:tcPr>
          <w:p w14:paraId="65319F7A" w14:textId="77777777" w:rsidR="00513123" w:rsidRPr="00513123" w:rsidRDefault="00513123" w:rsidP="00513123">
            <w:pPr>
              <w:spacing w:after="0" w:line="240" w:lineRule="auto"/>
              <w:rPr>
                <w:rFonts w:ascii="Calibri" w:hAnsi="Calibri" w:cs="Calibri"/>
                <w:noProof/>
              </w:rPr>
            </w:pPr>
            <w:r w:rsidRPr="00513123">
              <w:rPr>
                <w:rFonts w:ascii="Calibri" w:hAnsi="Calibri" w:cs="Calibri"/>
                <w:noProof/>
              </w:rPr>
              <w:drawing>
                <wp:inline distT="0" distB="0" distL="0" distR="0" wp14:anchorId="5371C603" wp14:editId="4EC630BD">
                  <wp:extent cx="579954" cy="68897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l="55211" r="-1260"/>
                          <a:stretch/>
                        </pic:blipFill>
                        <pic:spPr bwMode="auto">
                          <a:xfrm>
                            <a:off x="0" y="0"/>
                            <a:ext cx="590834" cy="7019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76" w:type="dxa"/>
            <w:tcMar>
              <w:top w:w="0" w:type="dxa"/>
              <w:left w:w="108" w:type="dxa"/>
              <w:bottom w:w="0" w:type="dxa"/>
              <w:right w:w="108" w:type="dxa"/>
            </w:tcMar>
            <w:vAlign w:val="center"/>
            <w:hideMark/>
          </w:tcPr>
          <w:p w14:paraId="3BBFEF33" w14:textId="77777777" w:rsidR="00513123" w:rsidRPr="00513123" w:rsidRDefault="00513123" w:rsidP="00513123">
            <w:pPr>
              <w:spacing w:after="0" w:line="240" w:lineRule="auto"/>
              <w:rPr>
                <w:rFonts w:ascii="Calibri" w:hAnsi="Calibri" w:cs="Calibri"/>
              </w:rPr>
            </w:pPr>
            <w:r w:rsidRPr="00513123">
              <w:rPr>
                <w:rFonts w:ascii="Calibri" w:hAnsi="Calibri" w:cs="Calibri"/>
                <w:noProof/>
              </w:rPr>
              <w:drawing>
                <wp:inline distT="0" distB="0" distL="0" distR="0" wp14:anchorId="24489FB9" wp14:editId="1124469D">
                  <wp:extent cx="649481" cy="609600"/>
                  <wp:effectExtent l="0" t="0" r="0" b="0"/>
                  <wp:docPr id="3" name="Image 3" descr="cid:image002.png@01D70B8F.2E5D6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id:image002.png@01D70B8F.2E5D632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60183" cy="619645"/>
                          </a:xfrm>
                          <a:prstGeom prst="rect">
                            <a:avLst/>
                          </a:prstGeom>
                          <a:noFill/>
                          <a:ln>
                            <a:noFill/>
                          </a:ln>
                        </pic:spPr>
                      </pic:pic>
                    </a:graphicData>
                  </a:graphic>
                </wp:inline>
              </w:drawing>
            </w:r>
          </w:p>
        </w:tc>
        <w:tc>
          <w:tcPr>
            <w:tcW w:w="1417" w:type="dxa"/>
            <w:tcMar>
              <w:top w:w="0" w:type="dxa"/>
              <w:left w:w="108" w:type="dxa"/>
              <w:bottom w:w="0" w:type="dxa"/>
              <w:right w:w="108" w:type="dxa"/>
            </w:tcMar>
            <w:vAlign w:val="center"/>
            <w:hideMark/>
          </w:tcPr>
          <w:p w14:paraId="4D48563C" w14:textId="77777777" w:rsidR="00513123" w:rsidRPr="00513123" w:rsidRDefault="00513123" w:rsidP="00513123">
            <w:pPr>
              <w:spacing w:after="0" w:line="240" w:lineRule="auto"/>
              <w:jc w:val="right"/>
              <w:rPr>
                <w:rFonts w:ascii="Calibri" w:hAnsi="Calibri" w:cs="Calibri"/>
              </w:rPr>
            </w:pPr>
            <w:r w:rsidRPr="00513123">
              <w:rPr>
                <w:rFonts w:ascii="Calibri" w:hAnsi="Calibri" w:cs="Calibri"/>
                <w:noProof/>
              </w:rPr>
              <w:drawing>
                <wp:inline distT="0" distB="0" distL="0" distR="0" wp14:anchorId="37B5B6AC" wp14:editId="512DC2D2">
                  <wp:extent cx="752475" cy="588838"/>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75036" cy="606493"/>
                          </a:xfrm>
                          <a:prstGeom prst="rect">
                            <a:avLst/>
                          </a:prstGeom>
                        </pic:spPr>
                      </pic:pic>
                    </a:graphicData>
                  </a:graphic>
                </wp:inline>
              </w:drawing>
            </w:r>
          </w:p>
        </w:tc>
        <w:tc>
          <w:tcPr>
            <w:tcW w:w="1134" w:type="dxa"/>
            <w:vAlign w:val="center"/>
          </w:tcPr>
          <w:p w14:paraId="6B212C69" w14:textId="77777777" w:rsidR="00513123" w:rsidRPr="00513123" w:rsidRDefault="00513123" w:rsidP="00513123">
            <w:pPr>
              <w:spacing w:after="0" w:line="240" w:lineRule="auto"/>
              <w:jc w:val="right"/>
              <w:rPr>
                <w:rFonts w:ascii="Calibri" w:hAnsi="Calibri" w:cs="Calibri"/>
                <w:noProof/>
              </w:rPr>
            </w:pPr>
            <w:r w:rsidRPr="00513123">
              <w:rPr>
                <w:rFonts w:ascii="Calibri" w:hAnsi="Calibri" w:cs="Calibri"/>
                <w:noProof/>
              </w:rPr>
              <w:drawing>
                <wp:inline distT="0" distB="0" distL="0" distR="0" wp14:anchorId="6397C010" wp14:editId="4FB0147B">
                  <wp:extent cx="600075" cy="661099"/>
                  <wp:effectExtent l="0" t="0" r="0" b="571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768" cy="669575"/>
                          </a:xfrm>
                          <a:prstGeom prst="rect">
                            <a:avLst/>
                          </a:prstGeom>
                          <a:noFill/>
                        </pic:spPr>
                      </pic:pic>
                    </a:graphicData>
                  </a:graphic>
                </wp:inline>
              </w:drawing>
            </w:r>
          </w:p>
        </w:tc>
        <w:tc>
          <w:tcPr>
            <w:tcW w:w="1560" w:type="dxa"/>
            <w:vAlign w:val="center"/>
          </w:tcPr>
          <w:p w14:paraId="72B1B892" w14:textId="77777777" w:rsidR="00513123" w:rsidRPr="00513123" w:rsidRDefault="00513123" w:rsidP="00513123">
            <w:pPr>
              <w:spacing w:after="0" w:line="240" w:lineRule="auto"/>
              <w:jc w:val="center"/>
              <w:rPr>
                <w:rFonts w:ascii="Calibri" w:hAnsi="Calibri" w:cs="Calibri"/>
                <w:noProof/>
              </w:rPr>
            </w:pPr>
            <w:r w:rsidRPr="00513123">
              <w:rPr>
                <w:rFonts w:ascii="Calibri" w:hAnsi="Calibri" w:cs="Calibri"/>
                <w:noProof/>
              </w:rPr>
              <w:drawing>
                <wp:inline distT="0" distB="0" distL="0" distR="0" wp14:anchorId="310E9763" wp14:editId="17D28F9A">
                  <wp:extent cx="810895" cy="426720"/>
                  <wp:effectExtent l="0" t="0" r="825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0895" cy="426720"/>
                          </a:xfrm>
                          <a:prstGeom prst="rect">
                            <a:avLst/>
                          </a:prstGeom>
                          <a:noFill/>
                        </pic:spPr>
                      </pic:pic>
                    </a:graphicData>
                  </a:graphic>
                </wp:inline>
              </w:drawing>
            </w:r>
          </w:p>
        </w:tc>
        <w:tc>
          <w:tcPr>
            <w:tcW w:w="2126" w:type="dxa"/>
            <w:vAlign w:val="center"/>
          </w:tcPr>
          <w:p w14:paraId="27029FC5" w14:textId="77777777" w:rsidR="00513123" w:rsidRPr="00513123" w:rsidRDefault="00513123" w:rsidP="00513123">
            <w:pPr>
              <w:kinsoku w:val="0"/>
              <w:overflowPunct w:val="0"/>
              <w:autoSpaceDE w:val="0"/>
              <w:autoSpaceDN w:val="0"/>
              <w:adjustRightInd w:val="0"/>
              <w:spacing w:after="0" w:line="240" w:lineRule="auto"/>
              <w:rPr>
                <w:rFonts w:ascii="Times New Roman" w:hAnsi="Times New Roman" w:cs="Times New Roman"/>
                <w:sz w:val="20"/>
                <w:szCs w:val="20"/>
              </w:rPr>
            </w:pPr>
            <w:r w:rsidRPr="00513123">
              <w:rPr>
                <w:rFonts w:ascii="Calibri" w:hAnsi="Calibri" w:cs="Calibri"/>
                <w:noProof/>
              </w:rPr>
              <w:drawing>
                <wp:inline distT="0" distB="0" distL="0" distR="0" wp14:anchorId="03DBCA3C" wp14:editId="21EA179F">
                  <wp:extent cx="1304925" cy="397321"/>
                  <wp:effectExtent l="0" t="0" r="0" b="317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45926" cy="409805"/>
                          </a:xfrm>
                          <a:prstGeom prst="rect">
                            <a:avLst/>
                          </a:prstGeom>
                          <a:noFill/>
                          <a:ln>
                            <a:noFill/>
                          </a:ln>
                        </pic:spPr>
                      </pic:pic>
                    </a:graphicData>
                  </a:graphic>
                </wp:inline>
              </w:drawing>
            </w:r>
          </w:p>
          <w:p w14:paraId="2AB7FD3E" w14:textId="77777777" w:rsidR="00513123" w:rsidRPr="00513123" w:rsidRDefault="00513123" w:rsidP="00513123">
            <w:pPr>
              <w:kinsoku w:val="0"/>
              <w:overflowPunct w:val="0"/>
              <w:autoSpaceDE w:val="0"/>
              <w:autoSpaceDN w:val="0"/>
              <w:adjustRightInd w:val="0"/>
              <w:spacing w:after="0" w:line="140" w:lineRule="exact"/>
              <w:ind w:left="699"/>
              <w:rPr>
                <w:rFonts w:ascii="Calibri" w:hAnsi="Calibri" w:cs="Calibri"/>
                <w:noProof/>
              </w:rPr>
            </w:pPr>
          </w:p>
        </w:tc>
      </w:tr>
      <w:tr w:rsidR="00513123" w:rsidRPr="00513123" w14:paraId="3EE2E812" w14:textId="77777777" w:rsidTr="006E2314">
        <w:trPr>
          <w:trHeight w:val="739"/>
        </w:trPr>
        <w:tc>
          <w:tcPr>
            <w:tcW w:w="1130" w:type="dxa"/>
            <w:tcMar>
              <w:top w:w="0" w:type="dxa"/>
              <w:left w:w="108" w:type="dxa"/>
              <w:bottom w:w="0" w:type="dxa"/>
              <w:right w:w="108" w:type="dxa"/>
            </w:tcMar>
            <w:vAlign w:val="center"/>
          </w:tcPr>
          <w:p w14:paraId="5CF92EC2" w14:textId="77777777" w:rsidR="00513123" w:rsidRPr="00513123" w:rsidRDefault="00513123" w:rsidP="00513123">
            <w:pPr>
              <w:spacing w:after="0" w:line="240" w:lineRule="auto"/>
              <w:rPr>
                <w:rFonts w:ascii="Calibri" w:hAnsi="Calibri" w:cs="Calibri"/>
                <w:noProof/>
              </w:rPr>
            </w:pPr>
          </w:p>
        </w:tc>
        <w:tc>
          <w:tcPr>
            <w:tcW w:w="850" w:type="dxa"/>
          </w:tcPr>
          <w:p w14:paraId="5E83C322" w14:textId="77777777" w:rsidR="00513123" w:rsidRPr="00513123" w:rsidRDefault="00513123" w:rsidP="00513123">
            <w:pPr>
              <w:spacing w:after="0" w:line="240" w:lineRule="auto"/>
              <w:jc w:val="center"/>
              <w:rPr>
                <w:rFonts w:ascii="Calibri" w:hAnsi="Calibri" w:cs="Calibri"/>
                <w:noProof/>
              </w:rPr>
            </w:pPr>
          </w:p>
        </w:tc>
        <w:tc>
          <w:tcPr>
            <w:tcW w:w="2693" w:type="dxa"/>
            <w:gridSpan w:val="2"/>
            <w:tcMar>
              <w:top w:w="0" w:type="dxa"/>
              <w:left w:w="108" w:type="dxa"/>
              <w:bottom w:w="0" w:type="dxa"/>
              <w:right w:w="108" w:type="dxa"/>
            </w:tcMar>
            <w:vAlign w:val="center"/>
          </w:tcPr>
          <w:p w14:paraId="7FE1D673" w14:textId="77777777" w:rsidR="00513123" w:rsidRPr="00513123" w:rsidRDefault="00513123" w:rsidP="00513123">
            <w:pPr>
              <w:spacing w:after="0" w:line="240" w:lineRule="auto"/>
              <w:jc w:val="center"/>
              <w:rPr>
                <w:rFonts w:ascii="Calibri" w:hAnsi="Calibri" w:cs="Calibri"/>
                <w:noProof/>
              </w:rPr>
            </w:pPr>
            <w:r w:rsidRPr="00513123">
              <w:rPr>
                <w:rFonts w:ascii="Calibri" w:hAnsi="Calibri" w:cs="Calibri"/>
                <w:noProof/>
              </w:rPr>
              <w:drawing>
                <wp:inline distT="0" distB="0" distL="0" distR="0" wp14:anchorId="2C98EE9A" wp14:editId="02065A7F">
                  <wp:extent cx="933450" cy="244909"/>
                  <wp:effectExtent l="0" t="0" r="0" b="3175"/>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35107" cy="245344"/>
                          </a:xfrm>
                          <a:prstGeom prst="rect">
                            <a:avLst/>
                          </a:prstGeom>
                          <a:noFill/>
                        </pic:spPr>
                      </pic:pic>
                    </a:graphicData>
                  </a:graphic>
                </wp:inline>
              </w:drawing>
            </w:r>
          </w:p>
        </w:tc>
        <w:tc>
          <w:tcPr>
            <w:tcW w:w="4820" w:type="dxa"/>
            <w:gridSpan w:val="3"/>
            <w:vAlign w:val="center"/>
          </w:tcPr>
          <w:p w14:paraId="15ECF796" w14:textId="77777777" w:rsidR="00513123" w:rsidRPr="00513123" w:rsidRDefault="00513123" w:rsidP="00513123">
            <w:pPr>
              <w:kinsoku w:val="0"/>
              <w:overflowPunct w:val="0"/>
              <w:autoSpaceDE w:val="0"/>
              <w:autoSpaceDN w:val="0"/>
              <w:adjustRightInd w:val="0"/>
              <w:spacing w:after="0" w:line="240" w:lineRule="auto"/>
              <w:rPr>
                <w:rFonts w:ascii="Calibri" w:hAnsi="Calibri" w:cs="Calibri"/>
                <w:noProof/>
              </w:rPr>
            </w:pPr>
            <w:r w:rsidRPr="00513123">
              <w:rPr>
                <w:rFonts w:ascii="Calibri" w:hAnsi="Calibri" w:cs="Calibri"/>
                <w:noProof/>
              </w:rPr>
              <w:drawing>
                <wp:inline distT="0" distB="0" distL="0" distR="0" wp14:anchorId="48CA77BA" wp14:editId="1A600041">
                  <wp:extent cx="1400175" cy="348302"/>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417332" cy="352570"/>
                          </a:xfrm>
                          <a:prstGeom prst="rect">
                            <a:avLst/>
                          </a:prstGeom>
                        </pic:spPr>
                      </pic:pic>
                    </a:graphicData>
                  </a:graphic>
                </wp:inline>
              </w:drawing>
            </w:r>
          </w:p>
        </w:tc>
      </w:tr>
    </w:tbl>
    <w:p w14:paraId="480BD95B" w14:textId="238EF692" w:rsidR="00513123" w:rsidRDefault="00513123"/>
    <w:p w14:paraId="285B8C79" w14:textId="5ABCFABD" w:rsidR="00513123" w:rsidRDefault="00513123" w:rsidP="00513123">
      <w:pPr>
        <w:spacing w:after="0" w:line="240" w:lineRule="auto"/>
        <w:jc w:val="right"/>
        <w:rPr>
          <w:rFonts w:ascii="Arial" w:hAnsi="Arial" w:cs="Arial"/>
        </w:rPr>
      </w:pPr>
      <w:r w:rsidRPr="00513123">
        <w:rPr>
          <w:rFonts w:ascii="Arial" w:hAnsi="Arial" w:cs="Arial"/>
        </w:rPr>
        <w:t xml:space="preserve">Le 10 mars 2021 </w:t>
      </w:r>
    </w:p>
    <w:p w14:paraId="1EEC0C10" w14:textId="77777777" w:rsidR="00513123" w:rsidRDefault="00513123" w:rsidP="00513123">
      <w:pPr>
        <w:spacing w:after="0" w:line="240" w:lineRule="auto"/>
        <w:jc w:val="right"/>
        <w:rPr>
          <w:rFonts w:ascii="Arial" w:hAnsi="Arial" w:cs="Arial"/>
        </w:rPr>
      </w:pPr>
    </w:p>
    <w:p w14:paraId="519EF8D6" w14:textId="77777777" w:rsidR="00513123" w:rsidRDefault="00513123" w:rsidP="00513123">
      <w:pPr>
        <w:spacing w:after="0" w:line="240" w:lineRule="auto"/>
        <w:jc w:val="right"/>
        <w:rPr>
          <w:rFonts w:ascii="Arial" w:hAnsi="Arial" w:cs="Arial"/>
        </w:rPr>
      </w:pPr>
    </w:p>
    <w:p w14:paraId="3F859C87" w14:textId="2C417986" w:rsidR="00513123" w:rsidRDefault="00A27716" w:rsidP="00513123">
      <w:pPr>
        <w:spacing w:after="0" w:line="240" w:lineRule="auto"/>
        <w:jc w:val="both"/>
        <w:rPr>
          <w:rFonts w:ascii="Arial" w:hAnsi="Arial" w:cs="Arial"/>
          <w:b/>
          <w:bCs/>
          <w:sz w:val="28"/>
          <w:szCs w:val="28"/>
        </w:rPr>
      </w:pPr>
      <w:r w:rsidRPr="00A27716">
        <w:rPr>
          <w:rFonts w:ascii="Arial" w:hAnsi="Arial" w:cs="Arial"/>
          <w:b/>
          <w:bCs/>
          <w:sz w:val="28"/>
          <w:szCs w:val="28"/>
        </w:rPr>
        <w:t xml:space="preserve">Méthanisation : </w:t>
      </w:r>
      <w:r w:rsidR="00D657D0">
        <w:rPr>
          <w:rFonts w:ascii="Arial" w:hAnsi="Arial" w:cs="Arial"/>
          <w:b/>
          <w:bCs/>
          <w:sz w:val="28"/>
          <w:szCs w:val="28"/>
        </w:rPr>
        <w:t xml:space="preserve">Une </w:t>
      </w:r>
      <w:r w:rsidRPr="00A27716">
        <w:rPr>
          <w:rFonts w:ascii="Arial" w:hAnsi="Arial" w:cs="Arial"/>
          <w:b/>
          <w:bCs/>
          <w:sz w:val="28"/>
          <w:szCs w:val="28"/>
        </w:rPr>
        <w:t xml:space="preserve">filière </w:t>
      </w:r>
      <w:r w:rsidR="00D657D0">
        <w:rPr>
          <w:rFonts w:ascii="Arial" w:hAnsi="Arial" w:cs="Arial"/>
          <w:b/>
          <w:bCs/>
          <w:sz w:val="28"/>
          <w:szCs w:val="28"/>
        </w:rPr>
        <w:t xml:space="preserve">en développement en Normandie </w:t>
      </w:r>
    </w:p>
    <w:p w14:paraId="67C640D7" w14:textId="77777777" w:rsidR="00CD5E3B" w:rsidRPr="00513123" w:rsidRDefault="00CD5E3B" w:rsidP="00513123">
      <w:pPr>
        <w:spacing w:after="0" w:line="240" w:lineRule="auto"/>
        <w:jc w:val="both"/>
        <w:rPr>
          <w:rFonts w:ascii="Arial" w:hAnsi="Arial" w:cs="Arial"/>
        </w:rPr>
      </w:pPr>
    </w:p>
    <w:p w14:paraId="749CCC34" w14:textId="02E5EC7B" w:rsidR="00B035FD" w:rsidRDefault="00513123" w:rsidP="00513123">
      <w:pPr>
        <w:spacing w:after="0" w:line="240" w:lineRule="auto"/>
        <w:jc w:val="both"/>
        <w:rPr>
          <w:rFonts w:ascii="Arial" w:hAnsi="Arial" w:cs="Arial"/>
          <w:b/>
        </w:rPr>
      </w:pPr>
      <w:r w:rsidRPr="00C461BA">
        <w:rPr>
          <w:rFonts w:ascii="Arial" w:hAnsi="Arial" w:cs="Arial"/>
          <w:b/>
        </w:rPr>
        <w:t>Gérard GAVORY, Préfet de la Manche</w:t>
      </w:r>
      <w:r w:rsidRPr="00513123">
        <w:rPr>
          <w:rFonts w:ascii="Arial" w:hAnsi="Arial" w:cs="Arial"/>
          <w:b/>
        </w:rPr>
        <w:t xml:space="preserve">, </w:t>
      </w:r>
      <w:bookmarkStart w:id="1" w:name="_Hlk65777224"/>
      <w:r w:rsidRPr="00513123">
        <w:rPr>
          <w:rFonts w:ascii="Arial" w:hAnsi="Arial" w:cs="Arial"/>
          <w:b/>
        </w:rPr>
        <w:t>Hubert DEJEAN DE LA BATIE, Vice-Président de la Région Normandie en charge de l’environnement, du littoral et de l’énergie</w:t>
      </w:r>
      <w:bookmarkEnd w:id="1"/>
      <w:r w:rsidRPr="00513123">
        <w:rPr>
          <w:rFonts w:ascii="Arial" w:hAnsi="Arial" w:cs="Arial"/>
          <w:b/>
        </w:rPr>
        <w:t xml:space="preserve">, </w:t>
      </w:r>
      <w:bookmarkStart w:id="2" w:name="_GoBack"/>
      <w:bookmarkEnd w:id="2"/>
      <w:r w:rsidR="00C461BA" w:rsidRPr="00C461BA">
        <w:rPr>
          <w:rFonts w:ascii="Arial" w:hAnsi="Arial" w:cs="Arial"/>
          <w:b/>
        </w:rPr>
        <w:t xml:space="preserve">Claire ROUSSEAU, Vice-Présidente de la Région Normandie en charge du sport, de la jeunesse et de la vie associative, </w:t>
      </w:r>
      <w:r w:rsidRPr="00C461BA">
        <w:rPr>
          <w:rFonts w:ascii="Arial" w:hAnsi="Arial" w:cs="Arial"/>
          <w:b/>
        </w:rPr>
        <w:t>Pascal FEREY, Président de la Chambre d'agriculture de la Manche et Vice-Président de la Chambre régionale d'agriculture de Normandie</w:t>
      </w:r>
      <w:r w:rsidRPr="00513123">
        <w:rPr>
          <w:rFonts w:ascii="Arial" w:hAnsi="Arial" w:cs="Arial"/>
          <w:b/>
        </w:rPr>
        <w:t>, François TAUDIERE, Président de l’association Biomasse Normandie</w:t>
      </w:r>
      <w:r w:rsidR="00C461BA" w:rsidRPr="00C461BA">
        <w:rPr>
          <w:rFonts w:ascii="Arial" w:hAnsi="Arial" w:cs="Arial"/>
          <w:b/>
        </w:rPr>
        <w:t>,</w:t>
      </w:r>
      <w:r w:rsidR="00C461BA" w:rsidRPr="00C461BA">
        <w:rPr>
          <w:b/>
        </w:rPr>
        <w:t xml:space="preserve"> </w:t>
      </w:r>
      <w:r w:rsidR="00C461BA" w:rsidRPr="00C461BA">
        <w:rPr>
          <w:rFonts w:ascii="Arial" w:hAnsi="Arial" w:cs="Arial"/>
          <w:b/>
        </w:rPr>
        <w:t>Eric PRUD’HOMME, Directeur régional délégué de l’ADEME Normandie, Catherine GOURNEY-LECONTE, Présidente de Territoire d’Energie Normandie, Valérie NOUVEL, Vice-présidente du Département de la Manche en charge de l’Environnement, la Transition écologique et l’Innovation, et Gaétan LAMBERT Président du PETR Sud-Manche Baie du Mont-Saint-Michel</w:t>
      </w:r>
      <w:r w:rsidR="00C461BA">
        <w:rPr>
          <w:rFonts w:ascii="Arial" w:hAnsi="Arial" w:cs="Arial"/>
          <w:b/>
        </w:rPr>
        <w:t>, se sont rendus, ce matin</w:t>
      </w:r>
      <w:r w:rsidR="00382DFD">
        <w:rPr>
          <w:rFonts w:ascii="Arial" w:hAnsi="Arial" w:cs="Arial"/>
          <w:b/>
        </w:rPr>
        <w:t>,</w:t>
      </w:r>
      <w:r w:rsidR="00C461BA">
        <w:rPr>
          <w:rFonts w:ascii="Arial" w:hAnsi="Arial" w:cs="Arial"/>
          <w:b/>
        </w:rPr>
        <w:t xml:space="preserve"> à </w:t>
      </w:r>
      <w:r w:rsidR="00C461BA" w:rsidRPr="00C461BA">
        <w:rPr>
          <w:rFonts w:ascii="Arial" w:hAnsi="Arial" w:cs="Arial"/>
          <w:b/>
        </w:rPr>
        <w:t>Juvigny-les-vallées</w:t>
      </w:r>
      <w:r w:rsidR="00C461BA">
        <w:rPr>
          <w:rFonts w:ascii="Arial" w:hAnsi="Arial" w:cs="Arial"/>
          <w:b/>
        </w:rPr>
        <w:t xml:space="preserve"> pour </w:t>
      </w:r>
      <w:r w:rsidRPr="00513123">
        <w:rPr>
          <w:rFonts w:ascii="Arial" w:hAnsi="Arial" w:cs="Arial"/>
          <w:b/>
        </w:rPr>
        <w:t xml:space="preserve">la mise en service de </w:t>
      </w:r>
      <w:bookmarkStart w:id="3" w:name="_Hlk65829954"/>
      <w:r w:rsidRPr="00513123">
        <w:rPr>
          <w:rFonts w:ascii="Arial" w:hAnsi="Arial" w:cs="Arial"/>
          <w:b/>
        </w:rPr>
        <w:t xml:space="preserve">l’unité de </w:t>
      </w:r>
      <w:proofErr w:type="spellStart"/>
      <w:r w:rsidRPr="00513123">
        <w:rPr>
          <w:rFonts w:ascii="Arial" w:hAnsi="Arial" w:cs="Arial"/>
          <w:b/>
        </w:rPr>
        <w:t>Métha</w:t>
      </w:r>
      <w:proofErr w:type="spellEnd"/>
      <w:r w:rsidRPr="00513123">
        <w:rPr>
          <w:rFonts w:ascii="Arial" w:hAnsi="Arial" w:cs="Arial"/>
          <w:b/>
        </w:rPr>
        <w:t xml:space="preserve"> LBMH</w:t>
      </w:r>
      <w:bookmarkEnd w:id="3"/>
      <w:r w:rsidR="00C461BA">
        <w:rPr>
          <w:rFonts w:ascii="Arial" w:hAnsi="Arial" w:cs="Arial"/>
          <w:b/>
        </w:rPr>
        <w:t xml:space="preserve">. </w:t>
      </w:r>
    </w:p>
    <w:p w14:paraId="0A19FC44" w14:textId="77777777" w:rsidR="00B035FD" w:rsidRDefault="00B035FD" w:rsidP="00513123">
      <w:pPr>
        <w:spacing w:after="0" w:line="240" w:lineRule="auto"/>
        <w:jc w:val="both"/>
        <w:rPr>
          <w:rFonts w:ascii="Arial" w:hAnsi="Arial" w:cs="Arial"/>
          <w:b/>
        </w:rPr>
      </w:pPr>
    </w:p>
    <w:p w14:paraId="71F58EEC" w14:textId="04EC70C5" w:rsidR="00382DFD" w:rsidRPr="00382DFD" w:rsidRDefault="00382DFD" w:rsidP="00513123">
      <w:pPr>
        <w:spacing w:after="0" w:line="240" w:lineRule="auto"/>
        <w:jc w:val="both"/>
        <w:rPr>
          <w:rFonts w:ascii="Arial" w:hAnsi="Arial" w:cs="Arial"/>
          <w:b/>
        </w:rPr>
      </w:pPr>
      <w:r w:rsidRPr="002B5D3F">
        <w:rPr>
          <w:rFonts w:ascii="Arial" w:hAnsi="Arial" w:cs="Arial"/>
          <w:b/>
        </w:rPr>
        <w:t xml:space="preserve">A cette occasion, </w:t>
      </w:r>
      <w:r w:rsidR="00C461BA" w:rsidRPr="002B5D3F">
        <w:rPr>
          <w:rFonts w:ascii="Arial" w:hAnsi="Arial" w:cs="Arial"/>
          <w:b/>
        </w:rPr>
        <w:t xml:space="preserve">les objectifs du plan </w:t>
      </w:r>
      <w:proofErr w:type="spellStart"/>
      <w:r w:rsidR="00C461BA" w:rsidRPr="002B5D3F">
        <w:rPr>
          <w:rFonts w:ascii="Arial" w:hAnsi="Arial" w:cs="Arial"/>
          <w:b/>
        </w:rPr>
        <w:t>Métha’Normandie</w:t>
      </w:r>
      <w:proofErr w:type="spellEnd"/>
      <w:r w:rsidR="00C461BA" w:rsidRPr="002B5D3F">
        <w:rPr>
          <w:rFonts w:ascii="Arial" w:hAnsi="Arial" w:cs="Arial"/>
          <w:b/>
        </w:rPr>
        <w:t xml:space="preserve"> 2021-2023</w:t>
      </w:r>
      <w:r w:rsidR="00171ED8" w:rsidRPr="002B5D3F">
        <w:rPr>
          <w:rFonts w:ascii="Arial" w:hAnsi="Arial" w:cs="Arial"/>
          <w:b/>
        </w:rPr>
        <w:t xml:space="preserve">, impulsé par </w:t>
      </w:r>
      <w:r w:rsidR="00B035FD">
        <w:rPr>
          <w:rFonts w:ascii="Arial" w:hAnsi="Arial" w:cs="Arial"/>
          <w:b/>
        </w:rPr>
        <w:t>la Région Normandie et l’ADEME et</w:t>
      </w:r>
      <w:r w:rsidRPr="002B5D3F">
        <w:rPr>
          <w:rFonts w:ascii="Arial" w:hAnsi="Arial" w:cs="Arial"/>
          <w:b/>
        </w:rPr>
        <w:t xml:space="preserve"> mis en œuvre par l’Association Régionale Biomasse Normandie et la Chambre Régionale d’Agriculture de Normandie, </w:t>
      </w:r>
      <w:r w:rsidR="00171ED8" w:rsidRPr="002B5D3F">
        <w:rPr>
          <w:rFonts w:ascii="Arial" w:hAnsi="Arial" w:cs="Arial"/>
          <w:b/>
        </w:rPr>
        <w:t>ont été présentés</w:t>
      </w:r>
      <w:r w:rsidRPr="002B5D3F">
        <w:rPr>
          <w:rFonts w:ascii="Arial" w:hAnsi="Arial" w:cs="Arial"/>
          <w:b/>
        </w:rPr>
        <w:t>.</w:t>
      </w:r>
      <w:r>
        <w:rPr>
          <w:rFonts w:ascii="Arial" w:hAnsi="Arial" w:cs="Arial"/>
          <w:b/>
        </w:rPr>
        <w:t xml:space="preserve"> </w:t>
      </w:r>
    </w:p>
    <w:p w14:paraId="43D07026" w14:textId="77777777" w:rsidR="00CD5E3B" w:rsidRDefault="00CD5E3B" w:rsidP="00513123">
      <w:pPr>
        <w:spacing w:after="0" w:line="240" w:lineRule="auto"/>
        <w:jc w:val="both"/>
        <w:rPr>
          <w:rFonts w:ascii="Arial" w:hAnsi="Arial" w:cs="Arial"/>
        </w:rPr>
      </w:pPr>
    </w:p>
    <w:p w14:paraId="0631B842" w14:textId="623C55E2" w:rsidR="00C461BA" w:rsidRPr="00FC7425" w:rsidRDefault="00830ED0" w:rsidP="00FC7425">
      <w:pPr>
        <w:spacing w:after="120" w:line="240" w:lineRule="auto"/>
        <w:jc w:val="both"/>
        <w:rPr>
          <w:rFonts w:ascii="Arial" w:hAnsi="Arial" w:cs="Arial"/>
          <w:b/>
          <w:sz w:val="26"/>
          <w:szCs w:val="26"/>
        </w:rPr>
      </w:pPr>
      <w:r>
        <w:rPr>
          <w:rFonts w:ascii="Arial" w:hAnsi="Arial" w:cs="Arial"/>
          <w:b/>
          <w:sz w:val="26"/>
          <w:szCs w:val="26"/>
        </w:rPr>
        <w:t>L’</w:t>
      </w:r>
      <w:r w:rsidRPr="00830ED0">
        <w:rPr>
          <w:rFonts w:ascii="Arial" w:hAnsi="Arial" w:cs="Arial"/>
          <w:b/>
          <w:sz w:val="26"/>
          <w:szCs w:val="26"/>
        </w:rPr>
        <w:t xml:space="preserve">équivalent </w:t>
      </w:r>
      <w:r>
        <w:rPr>
          <w:rFonts w:ascii="Arial" w:hAnsi="Arial" w:cs="Arial"/>
          <w:b/>
          <w:sz w:val="26"/>
          <w:szCs w:val="26"/>
        </w:rPr>
        <w:t xml:space="preserve">de la </w:t>
      </w:r>
      <w:r w:rsidRPr="00830ED0">
        <w:rPr>
          <w:rFonts w:ascii="Arial" w:hAnsi="Arial" w:cs="Arial"/>
          <w:b/>
          <w:sz w:val="26"/>
          <w:szCs w:val="26"/>
        </w:rPr>
        <w:t xml:space="preserve">consommation </w:t>
      </w:r>
      <w:r w:rsidR="006157B4" w:rsidRPr="006157B4">
        <w:rPr>
          <w:rFonts w:ascii="Arial" w:hAnsi="Arial" w:cs="Arial"/>
          <w:b/>
          <w:sz w:val="26"/>
          <w:szCs w:val="26"/>
        </w:rPr>
        <w:t xml:space="preserve">annuelle </w:t>
      </w:r>
      <w:r w:rsidR="006157B4">
        <w:rPr>
          <w:rFonts w:ascii="Arial" w:hAnsi="Arial" w:cs="Arial"/>
          <w:b/>
          <w:sz w:val="26"/>
          <w:szCs w:val="26"/>
        </w:rPr>
        <w:t>en chauffage et eau chaude</w:t>
      </w:r>
      <w:r w:rsidRPr="00830ED0">
        <w:rPr>
          <w:rFonts w:ascii="Arial" w:hAnsi="Arial" w:cs="Arial"/>
          <w:b/>
          <w:sz w:val="26"/>
          <w:szCs w:val="26"/>
        </w:rPr>
        <w:t xml:space="preserve"> d</w:t>
      </w:r>
      <w:r w:rsidR="006157B4">
        <w:rPr>
          <w:rFonts w:ascii="Arial" w:hAnsi="Arial" w:cs="Arial"/>
          <w:b/>
          <w:sz w:val="26"/>
          <w:szCs w:val="26"/>
        </w:rPr>
        <w:t>e près d’un</w:t>
      </w:r>
      <w:r w:rsidRPr="00830ED0">
        <w:rPr>
          <w:rFonts w:ascii="Arial" w:hAnsi="Arial" w:cs="Arial"/>
          <w:b/>
          <w:sz w:val="26"/>
          <w:szCs w:val="26"/>
        </w:rPr>
        <w:t xml:space="preserve"> millier de foyers </w:t>
      </w:r>
      <w:r w:rsidR="00C461BA" w:rsidRPr="00C461BA">
        <w:rPr>
          <w:rFonts w:ascii="Arial" w:hAnsi="Arial" w:cs="Arial"/>
          <w:b/>
          <w:sz w:val="26"/>
          <w:szCs w:val="26"/>
        </w:rPr>
        <w:t>injecté</w:t>
      </w:r>
      <w:r>
        <w:rPr>
          <w:rFonts w:ascii="Arial" w:hAnsi="Arial" w:cs="Arial"/>
          <w:b/>
          <w:sz w:val="26"/>
          <w:szCs w:val="26"/>
        </w:rPr>
        <w:t xml:space="preserve"> chaque année par </w:t>
      </w:r>
      <w:r w:rsidR="000B7100" w:rsidRPr="000B7100">
        <w:rPr>
          <w:rFonts w:ascii="Arial" w:hAnsi="Arial" w:cs="Arial"/>
          <w:b/>
          <w:sz w:val="26"/>
          <w:szCs w:val="26"/>
        </w:rPr>
        <w:t>METHA LBMH dans le réseau de distribution GRDF</w:t>
      </w:r>
    </w:p>
    <w:p w14:paraId="378CD046" w14:textId="77777777" w:rsidR="00830ED0" w:rsidRDefault="00513123" w:rsidP="00830ED0">
      <w:pPr>
        <w:spacing w:after="0" w:line="240" w:lineRule="auto"/>
        <w:jc w:val="both"/>
        <w:rPr>
          <w:rFonts w:ascii="Arial" w:hAnsi="Arial" w:cs="Arial"/>
        </w:rPr>
      </w:pPr>
      <w:r w:rsidRPr="00513123">
        <w:rPr>
          <w:rFonts w:ascii="Arial" w:hAnsi="Arial" w:cs="Arial"/>
        </w:rPr>
        <w:t xml:space="preserve">Le projet de construction d’une unité de méthanisation à Juvigny les vallées est né du rapprochement, au sein de la SAS </w:t>
      </w:r>
      <w:proofErr w:type="spellStart"/>
      <w:r w:rsidRPr="00513123">
        <w:rPr>
          <w:rFonts w:ascii="Arial" w:hAnsi="Arial" w:cs="Arial"/>
        </w:rPr>
        <w:t>Métha</w:t>
      </w:r>
      <w:proofErr w:type="spellEnd"/>
      <w:r w:rsidRPr="00513123">
        <w:rPr>
          <w:rFonts w:ascii="Arial" w:hAnsi="Arial" w:cs="Arial"/>
        </w:rPr>
        <w:t xml:space="preserve"> LBMH, du GAEC LEGEARD et du GAEC Martin HAMEL</w:t>
      </w:r>
      <w:r w:rsidR="00830ED0">
        <w:rPr>
          <w:rFonts w:ascii="Arial" w:hAnsi="Arial" w:cs="Arial"/>
        </w:rPr>
        <w:t xml:space="preserve">. </w:t>
      </w:r>
    </w:p>
    <w:p w14:paraId="135A2EEA" w14:textId="05C6832E" w:rsidR="00830ED0" w:rsidRDefault="00830ED0" w:rsidP="00830ED0">
      <w:pPr>
        <w:spacing w:after="0" w:line="240" w:lineRule="auto"/>
        <w:jc w:val="both"/>
        <w:rPr>
          <w:rFonts w:ascii="Arial" w:hAnsi="Arial" w:cs="Arial"/>
        </w:rPr>
      </w:pPr>
    </w:p>
    <w:p w14:paraId="549F455F" w14:textId="71B3A2F5" w:rsidR="00C461BA" w:rsidRDefault="00513123" w:rsidP="00513123">
      <w:pPr>
        <w:spacing w:after="0" w:line="240" w:lineRule="auto"/>
        <w:jc w:val="both"/>
        <w:rPr>
          <w:rFonts w:ascii="Arial" w:hAnsi="Arial" w:cs="Arial"/>
        </w:rPr>
      </w:pPr>
      <w:r w:rsidRPr="00513123">
        <w:rPr>
          <w:rFonts w:ascii="Arial" w:hAnsi="Arial" w:cs="Arial"/>
        </w:rPr>
        <w:t xml:space="preserve">Cette unité de méthanisation doit permettre la production de biométhane provenant essentiellement des exploitations agricoles du groupe et de générer de la matière pour la fertilisation des terres. </w:t>
      </w:r>
    </w:p>
    <w:p w14:paraId="137F9435" w14:textId="20656AD4" w:rsidR="00830ED0" w:rsidRDefault="00830ED0" w:rsidP="00513123">
      <w:pPr>
        <w:spacing w:after="0" w:line="240" w:lineRule="auto"/>
        <w:jc w:val="both"/>
        <w:rPr>
          <w:rFonts w:ascii="Arial" w:hAnsi="Arial" w:cs="Arial"/>
        </w:rPr>
      </w:pPr>
    </w:p>
    <w:p w14:paraId="3B909546" w14:textId="4F287161" w:rsidR="00830ED0" w:rsidRPr="00830ED0" w:rsidRDefault="00830ED0" w:rsidP="00830ED0">
      <w:pPr>
        <w:spacing w:after="0" w:line="240" w:lineRule="auto"/>
        <w:jc w:val="both"/>
        <w:rPr>
          <w:rFonts w:ascii="Arial" w:hAnsi="Arial" w:cs="Arial"/>
        </w:rPr>
      </w:pPr>
      <w:r w:rsidRPr="00830ED0">
        <w:rPr>
          <w:rFonts w:ascii="Arial" w:hAnsi="Arial" w:cs="Arial"/>
        </w:rPr>
        <w:t xml:space="preserve">Le gisement interne aux </w:t>
      </w:r>
      <w:r w:rsidR="00A76213" w:rsidRPr="00A76213">
        <w:rPr>
          <w:rFonts w:ascii="Arial" w:hAnsi="Arial" w:cs="Arial"/>
        </w:rPr>
        <w:t xml:space="preserve">GAEC LEGEARD et </w:t>
      </w:r>
      <w:r w:rsidR="00A76213">
        <w:rPr>
          <w:rFonts w:ascii="Arial" w:hAnsi="Arial" w:cs="Arial"/>
        </w:rPr>
        <w:t>au</w:t>
      </w:r>
      <w:r w:rsidR="00A76213" w:rsidRPr="00A76213">
        <w:rPr>
          <w:rFonts w:ascii="Arial" w:hAnsi="Arial" w:cs="Arial"/>
        </w:rPr>
        <w:t xml:space="preserve"> GAEC Martin HAMEL</w:t>
      </w:r>
      <w:r w:rsidRPr="00830ED0">
        <w:rPr>
          <w:rFonts w:ascii="Arial" w:hAnsi="Arial" w:cs="Arial"/>
        </w:rPr>
        <w:t xml:space="preserve"> est de l’ordre de 17 000 tonnes par an, soit </w:t>
      </w:r>
      <w:r w:rsidR="005A782C">
        <w:rPr>
          <w:rFonts w:ascii="Arial" w:hAnsi="Arial" w:cs="Arial"/>
        </w:rPr>
        <w:t xml:space="preserve">près de </w:t>
      </w:r>
      <w:r w:rsidRPr="00830ED0">
        <w:rPr>
          <w:rFonts w:ascii="Arial" w:hAnsi="Arial" w:cs="Arial"/>
        </w:rPr>
        <w:t>84</w:t>
      </w:r>
      <w:r>
        <w:rPr>
          <w:rFonts w:ascii="Arial" w:hAnsi="Arial" w:cs="Arial"/>
        </w:rPr>
        <w:t xml:space="preserve"> </w:t>
      </w:r>
      <w:r w:rsidRPr="00830ED0">
        <w:rPr>
          <w:rFonts w:ascii="Arial" w:hAnsi="Arial" w:cs="Arial"/>
        </w:rPr>
        <w:t xml:space="preserve">% </w:t>
      </w:r>
      <w:r w:rsidR="005A782C">
        <w:rPr>
          <w:rFonts w:ascii="Arial" w:hAnsi="Arial" w:cs="Arial"/>
        </w:rPr>
        <w:t>de</w:t>
      </w:r>
      <w:r w:rsidRPr="00830ED0">
        <w:rPr>
          <w:rFonts w:ascii="Arial" w:hAnsi="Arial" w:cs="Arial"/>
        </w:rPr>
        <w:t xml:space="preserve"> </w:t>
      </w:r>
      <w:r w:rsidR="005A782C">
        <w:rPr>
          <w:rFonts w:ascii="Arial" w:hAnsi="Arial" w:cs="Arial"/>
        </w:rPr>
        <w:t>l’</w:t>
      </w:r>
      <w:r w:rsidRPr="00830ED0">
        <w:rPr>
          <w:rFonts w:ascii="Arial" w:hAnsi="Arial" w:cs="Arial"/>
        </w:rPr>
        <w:t>énergie produite. Il est principalement composé de fumier, de lisier, de menues pailles et d’ensilage maïs,</w:t>
      </w:r>
      <w:r w:rsidR="005A782C">
        <w:rPr>
          <w:rFonts w:ascii="Arial" w:hAnsi="Arial" w:cs="Arial"/>
        </w:rPr>
        <w:t xml:space="preserve"> </w:t>
      </w:r>
      <w:r w:rsidRPr="00830ED0">
        <w:rPr>
          <w:rFonts w:ascii="Arial" w:hAnsi="Arial" w:cs="Arial"/>
        </w:rPr>
        <w:t>CIVE, …</w:t>
      </w:r>
      <w:r w:rsidR="00382DFD">
        <w:rPr>
          <w:rFonts w:ascii="Arial" w:hAnsi="Arial" w:cs="Arial"/>
        </w:rPr>
        <w:t xml:space="preserve"> </w:t>
      </w:r>
      <w:r w:rsidRPr="00830ED0">
        <w:rPr>
          <w:rFonts w:ascii="Arial" w:hAnsi="Arial" w:cs="Arial"/>
        </w:rPr>
        <w:t>Le gisement externe concerne le fumier mou et les déchets de stockage de céréales provenant de 3 structures agricoles voisines d’environ 5 kms.</w:t>
      </w:r>
    </w:p>
    <w:p w14:paraId="2F6C979B" w14:textId="56CA2D9B" w:rsidR="00830ED0" w:rsidRDefault="00513123" w:rsidP="00513123">
      <w:pPr>
        <w:spacing w:after="0" w:line="240" w:lineRule="auto"/>
        <w:jc w:val="both"/>
        <w:rPr>
          <w:rFonts w:ascii="Arial" w:hAnsi="Arial" w:cs="Arial"/>
        </w:rPr>
      </w:pPr>
      <w:r w:rsidRPr="00513123">
        <w:rPr>
          <w:rFonts w:ascii="Arial" w:hAnsi="Arial" w:cs="Arial"/>
        </w:rPr>
        <w:lastRenderedPageBreak/>
        <w:t xml:space="preserve">A terme, plus d’1 million de normo mètres cubes de biométhane, pourront être injectés, chaque année, dans le réseau de distribution GRDF, ce qui est équivalent </w:t>
      </w:r>
      <w:r w:rsidR="006157B4">
        <w:rPr>
          <w:rFonts w:ascii="Arial" w:hAnsi="Arial" w:cs="Arial"/>
        </w:rPr>
        <w:t xml:space="preserve">à </w:t>
      </w:r>
      <w:r w:rsidR="006157B4" w:rsidRPr="006157B4">
        <w:rPr>
          <w:rFonts w:ascii="Arial" w:hAnsi="Arial" w:cs="Arial"/>
        </w:rPr>
        <w:t>la consommation annuelle en chauffage et</w:t>
      </w:r>
      <w:r w:rsidR="006157B4">
        <w:rPr>
          <w:rFonts w:ascii="Arial" w:hAnsi="Arial" w:cs="Arial"/>
        </w:rPr>
        <w:t xml:space="preserve"> en</w:t>
      </w:r>
      <w:r w:rsidR="006157B4" w:rsidRPr="006157B4">
        <w:rPr>
          <w:rFonts w:ascii="Arial" w:hAnsi="Arial" w:cs="Arial"/>
        </w:rPr>
        <w:t xml:space="preserve"> eau chaude </w:t>
      </w:r>
      <w:r w:rsidR="006157B4">
        <w:rPr>
          <w:rFonts w:ascii="Arial" w:hAnsi="Arial" w:cs="Arial"/>
        </w:rPr>
        <w:t>sanitaire de 900</w:t>
      </w:r>
      <w:r w:rsidR="006157B4" w:rsidRPr="006157B4">
        <w:rPr>
          <w:rFonts w:ascii="Arial" w:hAnsi="Arial" w:cs="Arial"/>
        </w:rPr>
        <w:t xml:space="preserve"> foyers</w:t>
      </w:r>
      <w:r w:rsidR="006157B4">
        <w:rPr>
          <w:rFonts w:ascii="Arial" w:hAnsi="Arial" w:cs="Arial"/>
        </w:rPr>
        <w:t>.</w:t>
      </w:r>
    </w:p>
    <w:p w14:paraId="097007F4" w14:textId="29EDDE8E" w:rsidR="00D37846" w:rsidRDefault="00D37846" w:rsidP="00513123">
      <w:pPr>
        <w:spacing w:after="0" w:line="240" w:lineRule="auto"/>
        <w:jc w:val="both"/>
        <w:rPr>
          <w:rFonts w:ascii="Arial" w:hAnsi="Arial" w:cs="Arial"/>
        </w:rPr>
      </w:pPr>
    </w:p>
    <w:p w14:paraId="257FA8EE" w14:textId="0E253A4D" w:rsidR="00D37846" w:rsidRDefault="00D37846" w:rsidP="00513123">
      <w:pPr>
        <w:spacing w:after="0" w:line="240" w:lineRule="auto"/>
        <w:jc w:val="both"/>
        <w:rPr>
          <w:rFonts w:ascii="Arial" w:hAnsi="Arial" w:cs="Arial"/>
        </w:rPr>
      </w:pPr>
      <w:r w:rsidRPr="00D37846">
        <w:rPr>
          <w:rFonts w:ascii="Arial" w:hAnsi="Arial" w:cs="Arial"/>
        </w:rPr>
        <w:t>Cette installation à l'instar de l'ensemble des unités de production de biogaz françaises permet d'atteindre les objectifs en matière de transition énergétique notamment les 7 % à 10 % de gaz issu du biogaz dans la consommation de gaz à l'horizon 2030.</w:t>
      </w:r>
    </w:p>
    <w:p w14:paraId="6D478B93" w14:textId="77777777" w:rsidR="00382DFD" w:rsidRPr="00382DFD" w:rsidRDefault="00382DFD" w:rsidP="00513123">
      <w:pPr>
        <w:spacing w:after="0" w:line="240" w:lineRule="auto"/>
        <w:jc w:val="both"/>
        <w:rPr>
          <w:rFonts w:ascii="Arial" w:hAnsi="Arial" w:cs="Arial"/>
        </w:rPr>
      </w:pPr>
    </w:p>
    <w:p w14:paraId="40421476" w14:textId="5C0D9CB0" w:rsidR="00171ED8" w:rsidRDefault="00A23B39" w:rsidP="00171ED8">
      <w:pPr>
        <w:spacing w:after="0" w:line="240" w:lineRule="auto"/>
        <w:jc w:val="both"/>
        <w:rPr>
          <w:rFonts w:ascii="Arial" w:hAnsi="Arial" w:cs="Arial"/>
          <w:highlight w:val="yellow"/>
        </w:rPr>
      </w:pPr>
      <w:r w:rsidRPr="005A782C">
        <w:rPr>
          <w:rFonts w:ascii="Arial" w:hAnsi="Arial" w:cs="Arial"/>
        </w:rPr>
        <w:t>La Région Normandie a accompagné l</w:t>
      </w:r>
      <w:r w:rsidR="00D37846">
        <w:rPr>
          <w:rFonts w:ascii="Arial" w:hAnsi="Arial" w:cs="Arial"/>
        </w:rPr>
        <w:t xml:space="preserve">a création de </w:t>
      </w:r>
      <w:r w:rsidR="00D37846" w:rsidRPr="00D37846">
        <w:rPr>
          <w:rFonts w:ascii="Arial" w:hAnsi="Arial" w:cs="Arial"/>
        </w:rPr>
        <w:t xml:space="preserve">l’unité de </w:t>
      </w:r>
      <w:proofErr w:type="spellStart"/>
      <w:r w:rsidR="00D37846" w:rsidRPr="00D37846">
        <w:rPr>
          <w:rFonts w:ascii="Arial" w:hAnsi="Arial" w:cs="Arial"/>
        </w:rPr>
        <w:t>Métha</w:t>
      </w:r>
      <w:proofErr w:type="spellEnd"/>
      <w:r w:rsidR="00D37846" w:rsidRPr="00D37846">
        <w:rPr>
          <w:rFonts w:ascii="Arial" w:hAnsi="Arial" w:cs="Arial"/>
        </w:rPr>
        <w:t xml:space="preserve"> LBMH</w:t>
      </w:r>
      <w:r w:rsidR="00D37846">
        <w:rPr>
          <w:rFonts w:ascii="Arial" w:hAnsi="Arial" w:cs="Arial"/>
        </w:rPr>
        <w:t xml:space="preserve"> par</w:t>
      </w:r>
      <w:r w:rsidRPr="005A782C">
        <w:rPr>
          <w:rFonts w:ascii="Arial" w:hAnsi="Arial" w:cs="Arial"/>
        </w:rPr>
        <w:t xml:space="preserve"> u</w:t>
      </w:r>
      <w:r w:rsidR="00830ED0" w:rsidRPr="005A782C">
        <w:rPr>
          <w:rFonts w:ascii="Arial" w:hAnsi="Arial" w:cs="Arial"/>
        </w:rPr>
        <w:t>ne subvention d</w:t>
      </w:r>
      <w:r w:rsidR="00A76213" w:rsidRPr="005A782C">
        <w:rPr>
          <w:rFonts w:ascii="Arial" w:hAnsi="Arial" w:cs="Arial"/>
        </w:rPr>
        <w:t>’un montant de</w:t>
      </w:r>
      <w:r w:rsidR="00830ED0" w:rsidRPr="005A782C">
        <w:rPr>
          <w:rFonts w:ascii="Arial" w:hAnsi="Arial" w:cs="Arial"/>
        </w:rPr>
        <w:t xml:space="preserve"> 500</w:t>
      </w:r>
      <w:r w:rsidRPr="005A782C">
        <w:rPr>
          <w:rFonts w:ascii="Arial" w:hAnsi="Arial" w:cs="Arial"/>
        </w:rPr>
        <w:t> </w:t>
      </w:r>
      <w:r w:rsidR="00830ED0" w:rsidRPr="005A782C">
        <w:rPr>
          <w:rFonts w:ascii="Arial" w:hAnsi="Arial" w:cs="Arial"/>
        </w:rPr>
        <w:t>000</w:t>
      </w:r>
      <w:r w:rsidRPr="005A782C">
        <w:rPr>
          <w:rFonts w:ascii="Arial" w:hAnsi="Arial" w:cs="Arial"/>
        </w:rPr>
        <w:t xml:space="preserve"> euros au titre du FEDER ainsi que par un prêt à taux zéro de 400 000 euros. </w:t>
      </w:r>
      <w:r w:rsidR="00382DFD" w:rsidRPr="005A782C">
        <w:rPr>
          <w:rFonts w:ascii="Arial" w:hAnsi="Arial" w:cs="Arial"/>
        </w:rPr>
        <w:t>Il</w:t>
      </w:r>
      <w:r w:rsidR="00A76213" w:rsidRPr="005A782C">
        <w:rPr>
          <w:rFonts w:ascii="Arial" w:hAnsi="Arial" w:cs="Arial"/>
        </w:rPr>
        <w:t xml:space="preserve"> a aussi été accompagné par l’ADEME par le biais d’</w:t>
      </w:r>
      <w:r w:rsidRPr="005A782C">
        <w:rPr>
          <w:rFonts w:ascii="Arial" w:hAnsi="Arial" w:cs="Arial"/>
        </w:rPr>
        <w:t xml:space="preserve">une subvention </w:t>
      </w:r>
      <w:r w:rsidR="00A76213" w:rsidRPr="005A782C">
        <w:rPr>
          <w:rFonts w:ascii="Arial" w:hAnsi="Arial" w:cs="Arial"/>
        </w:rPr>
        <w:t xml:space="preserve">d’un montant de 350 000 euros et une </w:t>
      </w:r>
      <w:r w:rsidR="000846C6">
        <w:rPr>
          <w:rFonts w:ascii="Arial" w:hAnsi="Arial" w:cs="Arial"/>
        </w:rPr>
        <w:t>a</w:t>
      </w:r>
      <w:r w:rsidR="00830ED0" w:rsidRPr="005A782C">
        <w:rPr>
          <w:rFonts w:ascii="Arial" w:hAnsi="Arial" w:cs="Arial"/>
        </w:rPr>
        <w:t xml:space="preserve">vance </w:t>
      </w:r>
      <w:r w:rsidR="000846C6">
        <w:rPr>
          <w:rFonts w:ascii="Arial" w:hAnsi="Arial" w:cs="Arial"/>
        </w:rPr>
        <w:t>r</w:t>
      </w:r>
      <w:r w:rsidR="00830ED0" w:rsidRPr="005A782C">
        <w:rPr>
          <w:rFonts w:ascii="Arial" w:hAnsi="Arial" w:cs="Arial"/>
        </w:rPr>
        <w:t>emboursable de 281</w:t>
      </w:r>
      <w:r w:rsidR="00A76213" w:rsidRPr="005A782C">
        <w:rPr>
          <w:rFonts w:ascii="Arial" w:hAnsi="Arial" w:cs="Arial"/>
        </w:rPr>
        <w:t> </w:t>
      </w:r>
      <w:r w:rsidR="00830ED0" w:rsidRPr="005A782C">
        <w:rPr>
          <w:rFonts w:ascii="Arial" w:hAnsi="Arial" w:cs="Arial"/>
        </w:rPr>
        <w:t>810</w:t>
      </w:r>
      <w:r w:rsidR="00A76213" w:rsidRPr="005A782C">
        <w:rPr>
          <w:rFonts w:ascii="Arial" w:hAnsi="Arial" w:cs="Arial"/>
        </w:rPr>
        <w:t xml:space="preserve"> </w:t>
      </w:r>
      <w:r w:rsidR="00A76213" w:rsidRPr="00171ED8">
        <w:rPr>
          <w:rFonts w:ascii="Arial" w:hAnsi="Arial" w:cs="Arial"/>
        </w:rPr>
        <w:t xml:space="preserve">euros. </w:t>
      </w:r>
      <w:r w:rsidR="00171ED8" w:rsidRPr="00171ED8">
        <w:rPr>
          <w:rFonts w:ascii="Arial" w:hAnsi="Arial" w:cs="Arial"/>
        </w:rPr>
        <w:t>L’étude de faisabilité du projet a, par ailleurs, été financée à hauteur de 35 466 euros</w:t>
      </w:r>
      <w:r w:rsidR="00084CD3" w:rsidRPr="00084CD3">
        <w:rPr>
          <w:rFonts w:ascii="Arial" w:hAnsi="Arial" w:cs="Arial"/>
        </w:rPr>
        <w:t xml:space="preserve"> au titre du FEADER – LEADER </w:t>
      </w:r>
      <w:r w:rsidR="00171ED8" w:rsidRPr="00171ED8">
        <w:rPr>
          <w:rFonts w:ascii="Arial" w:hAnsi="Arial" w:cs="Arial"/>
        </w:rPr>
        <w:t xml:space="preserve">par le </w:t>
      </w:r>
      <w:r w:rsidR="00830ED0" w:rsidRPr="00171ED8">
        <w:rPr>
          <w:rFonts w:ascii="Arial" w:hAnsi="Arial" w:cs="Arial"/>
        </w:rPr>
        <w:t>PETR Sud-Manche Baie et</w:t>
      </w:r>
      <w:r w:rsidR="00171ED8" w:rsidRPr="00171ED8">
        <w:rPr>
          <w:rFonts w:ascii="Arial" w:hAnsi="Arial" w:cs="Arial"/>
        </w:rPr>
        <w:t xml:space="preserve"> de 29 910 euros par</w:t>
      </w:r>
      <w:r w:rsidR="00830ED0" w:rsidRPr="00171ED8">
        <w:rPr>
          <w:rFonts w:ascii="Arial" w:hAnsi="Arial" w:cs="Arial"/>
        </w:rPr>
        <w:t xml:space="preserve"> le Département de la Manche</w:t>
      </w:r>
      <w:r w:rsidR="00171ED8" w:rsidRPr="00171ED8">
        <w:rPr>
          <w:rFonts w:ascii="Arial" w:hAnsi="Arial" w:cs="Arial"/>
        </w:rPr>
        <w:t>.</w:t>
      </w:r>
      <w:r w:rsidR="00750D78">
        <w:rPr>
          <w:rFonts w:ascii="Arial" w:hAnsi="Arial" w:cs="Arial"/>
        </w:rPr>
        <w:t xml:space="preserve"> Ces aides publiques</w:t>
      </w:r>
      <w:r w:rsidR="00750D78" w:rsidRPr="00750D78">
        <w:rPr>
          <w:rFonts w:ascii="Arial" w:hAnsi="Arial" w:cs="Arial"/>
        </w:rPr>
        <w:t xml:space="preserve"> correspondent à environ 15</w:t>
      </w:r>
      <w:r w:rsidR="00750D78">
        <w:rPr>
          <w:rFonts w:ascii="Arial" w:hAnsi="Arial" w:cs="Arial"/>
        </w:rPr>
        <w:t xml:space="preserve"> </w:t>
      </w:r>
      <w:r w:rsidR="00750D78" w:rsidRPr="00750D78">
        <w:rPr>
          <w:rFonts w:ascii="Arial" w:hAnsi="Arial" w:cs="Arial"/>
        </w:rPr>
        <w:t>% du budget total d'investissement</w:t>
      </w:r>
      <w:r w:rsidR="00750D78">
        <w:rPr>
          <w:rFonts w:ascii="Arial" w:hAnsi="Arial" w:cs="Arial"/>
        </w:rPr>
        <w:t xml:space="preserve"> pour ce projet</w:t>
      </w:r>
      <w:r w:rsidR="00750D78" w:rsidRPr="00750D78">
        <w:rPr>
          <w:rFonts w:ascii="Arial" w:hAnsi="Arial" w:cs="Arial"/>
        </w:rPr>
        <w:t>.</w:t>
      </w:r>
    </w:p>
    <w:p w14:paraId="2F2741D2" w14:textId="77777777" w:rsidR="00171ED8" w:rsidRPr="00171ED8" w:rsidRDefault="00171ED8" w:rsidP="00171ED8">
      <w:pPr>
        <w:spacing w:after="0" w:line="240" w:lineRule="auto"/>
        <w:jc w:val="both"/>
        <w:rPr>
          <w:rFonts w:ascii="Arial" w:hAnsi="Arial" w:cs="Arial"/>
          <w:highlight w:val="yellow"/>
        </w:rPr>
      </w:pPr>
    </w:p>
    <w:p w14:paraId="2FF37E30" w14:textId="136EB1C9" w:rsidR="00B504E8" w:rsidRDefault="00382DFD" w:rsidP="00B504E8">
      <w:pPr>
        <w:spacing w:after="120" w:line="240" w:lineRule="auto"/>
        <w:rPr>
          <w:rFonts w:ascii="Arial" w:hAnsi="Arial" w:cs="Arial"/>
          <w:b/>
          <w:sz w:val="26"/>
          <w:szCs w:val="26"/>
        </w:rPr>
      </w:pPr>
      <w:r w:rsidRPr="00382DFD">
        <w:rPr>
          <w:rFonts w:ascii="Arial" w:hAnsi="Arial" w:cs="Arial"/>
          <w:b/>
          <w:sz w:val="26"/>
          <w:szCs w:val="26"/>
        </w:rPr>
        <w:t xml:space="preserve">Le plan régional </w:t>
      </w:r>
      <w:proofErr w:type="spellStart"/>
      <w:r w:rsidRPr="00382DFD">
        <w:rPr>
          <w:rFonts w:ascii="Arial" w:hAnsi="Arial" w:cs="Arial"/>
          <w:b/>
          <w:sz w:val="26"/>
          <w:szCs w:val="26"/>
        </w:rPr>
        <w:t>Métha’Normandie</w:t>
      </w:r>
      <w:proofErr w:type="spellEnd"/>
      <w:r w:rsidRPr="00382DFD">
        <w:rPr>
          <w:rFonts w:ascii="Arial" w:hAnsi="Arial" w:cs="Arial"/>
          <w:b/>
          <w:sz w:val="26"/>
          <w:szCs w:val="26"/>
        </w:rPr>
        <w:t xml:space="preserve"> 2021-2023</w:t>
      </w:r>
    </w:p>
    <w:p w14:paraId="62C50110" w14:textId="7340A526" w:rsidR="00855D88" w:rsidRPr="00855D88" w:rsidRDefault="00B504E8" w:rsidP="00855D88">
      <w:pPr>
        <w:spacing w:after="120" w:line="240" w:lineRule="auto"/>
        <w:jc w:val="both"/>
        <w:rPr>
          <w:rFonts w:ascii="Arial" w:hAnsi="Arial" w:cs="Arial"/>
          <w:szCs w:val="26"/>
        </w:rPr>
      </w:pPr>
      <w:r w:rsidRPr="00B504E8">
        <w:rPr>
          <w:rFonts w:ascii="Arial" w:hAnsi="Arial" w:cs="Arial"/>
          <w:szCs w:val="26"/>
        </w:rPr>
        <w:t>Dans la continuité d</w:t>
      </w:r>
      <w:r>
        <w:rPr>
          <w:rFonts w:ascii="Arial" w:hAnsi="Arial" w:cs="Arial"/>
          <w:szCs w:val="26"/>
        </w:rPr>
        <w:t xml:space="preserve">es actions engagées </w:t>
      </w:r>
      <w:r w:rsidR="00855D88">
        <w:rPr>
          <w:rFonts w:ascii="Arial" w:hAnsi="Arial" w:cs="Arial"/>
          <w:szCs w:val="26"/>
        </w:rPr>
        <w:t>dans le cadre de la précédente programmation</w:t>
      </w:r>
      <w:r>
        <w:rPr>
          <w:rFonts w:ascii="Arial" w:hAnsi="Arial" w:cs="Arial"/>
          <w:szCs w:val="26"/>
        </w:rPr>
        <w:t xml:space="preserve"> 2018-2020, qui </w:t>
      </w:r>
      <w:r w:rsidR="00855D88">
        <w:rPr>
          <w:rFonts w:ascii="Arial" w:hAnsi="Arial" w:cs="Arial"/>
          <w:szCs w:val="26"/>
        </w:rPr>
        <w:t>ont</w:t>
      </w:r>
      <w:r>
        <w:rPr>
          <w:rFonts w:ascii="Arial" w:hAnsi="Arial" w:cs="Arial"/>
          <w:szCs w:val="26"/>
        </w:rPr>
        <w:t xml:space="preserve"> notamment permis de voir doubler l</w:t>
      </w:r>
      <w:r w:rsidRPr="00B504E8">
        <w:rPr>
          <w:rFonts w:ascii="Arial" w:hAnsi="Arial" w:cs="Arial"/>
          <w:szCs w:val="26"/>
        </w:rPr>
        <w:t>e nombre d’unités de méthanisation</w:t>
      </w:r>
      <w:r>
        <w:rPr>
          <w:rFonts w:ascii="Arial" w:hAnsi="Arial" w:cs="Arial"/>
          <w:szCs w:val="26"/>
        </w:rPr>
        <w:t xml:space="preserve"> en Normandie, le plan </w:t>
      </w:r>
      <w:proofErr w:type="spellStart"/>
      <w:r w:rsidRPr="00B504E8">
        <w:rPr>
          <w:rFonts w:ascii="Arial" w:hAnsi="Arial" w:cs="Arial"/>
          <w:szCs w:val="26"/>
        </w:rPr>
        <w:t>Métha’Normandie</w:t>
      </w:r>
      <w:proofErr w:type="spellEnd"/>
      <w:r>
        <w:rPr>
          <w:rFonts w:ascii="Arial" w:hAnsi="Arial" w:cs="Arial"/>
          <w:szCs w:val="26"/>
        </w:rPr>
        <w:t xml:space="preserve"> </w:t>
      </w:r>
      <w:r w:rsidR="00855D88" w:rsidRPr="00855D88">
        <w:rPr>
          <w:rFonts w:ascii="Arial" w:hAnsi="Arial" w:cs="Arial"/>
          <w:szCs w:val="26"/>
        </w:rPr>
        <w:t>2021-2023</w:t>
      </w:r>
      <w:r w:rsidR="00855D88">
        <w:rPr>
          <w:rFonts w:ascii="Arial" w:hAnsi="Arial" w:cs="Arial"/>
          <w:szCs w:val="26"/>
        </w:rPr>
        <w:t xml:space="preserve"> </w:t>
      </w:r>
      <w:r>
        <w:rPr>
          <w:rFonts w:ascii="Arial" w:hAnsi="Arial" w:cs="Arial"/>
          <w:szCs w:val="26"/>
        </w:rPr>
        <w:t xml:space="preserve">poursuit deux principaux objectifs : </w:t>
      </w:r>
    </w:p>
    <w:p w14:paraId="3868AFA3" w14:textId="77777777" w:rsidR="00855D88" w:rsidRDefault="00855D88" w:rsidP="00855D88">
      <w:pPr>
        <w:pStyle w:val="Paragraphedeliste"/>
        <w:numPr>
          <w:ilvl w:val="0"/>
          <w:numId w:val="2"/>
        </w:numPr>
        <w:rPr>
          <w:rFonts w:ascii="Arial" w:hAnsi="Arial" w:cs="Arial"/>
          <w:b/>
          <w:szCs w:val="26"/>
        </w:rPr>
      </w:pPr>
      <w:r w:rsidRPr="00855D88">
        <w:rPr>
          <w:rFonts w:ascii="Arial" w:hAnsi="Arial" w:cs="Arial"/>
          <w:b/>
          <w:szCs w:val="26"/>
        </w:rPr>
        <w:t xml:space="preserve">Favoriser l’acceptation sociale des projets </w:t>
      </w:r>
    </w:p>
    <w:p w14:paraId="4EECFD3D" w14:textId="061ECD6E" w:rsidR="00855D88" w:rsidRDefault="00855D88" w:rsidP="00855D88">
      <w:pPr>
        <w:pStyle w:val="Paragraphedeliste"/>
        <w:spacing w:after="0" w:line="240" w:lineRule="auto"/>
        <w:contextualSpacing w:val="0"/>
        <w:jc w:val="both"/>
        <w:rPr>
          <w:rFonts w:ascii="Arial" w:hAnsi="Arial" w:cs="Arial"/>
          <w:szCs w:val="26"/>
        </w:rPr>
      </w:pPr>
      <w:r w:rsidRPr="00855D88">
        <w:rPr>
          <w:rFonts w:ascii="Arial" w:hAnsi="Arial" w:cs="Arial"/>
          <w:szCs w:val="26"/>
        </w:rPr>
        <w:t>Comme partout en France,</w:t>
      </w:r>
      <w:r>
        <w:rPr>
          <w:rFonts w:ascii="Arial" w:hAnsi="Arial" w:cs="Arial"/>
          <w:szCs w:val="26"/>
        </w:rPr>
        <w:t xml:space="preserve"> </w:t>
      </w:r>
      <w:r w:rsidRPr="00855D88">
        <w:rPr>
          <w:rFonts w:ascii="Arial" w:hAnsi="Arial" w:cs="Arial"/>
          <w:szCs w:val="26"/>
        </w:rPr>
        <w:t xml:space="preserve">les projets </w:t>
      </w:r>
      <w:r>
        <w:rPr>
          <w:rFonts w:ascii="Arial" w:hAnsi="Arial" w:cs="Arial"/>
          <w:szCs w:val="26"/>
        </w:rPr>
        <w:t>de création en Normandie</w:t>
      </w:r>
      <w:r w:rsidRPr="00855D88">
        <w:rPr>
          <w:rFonts w:ascii="Arial" w:hAnsi="Arial" w:cs="Arial"/>
          <w:szCs w:val="26"/>
        </w:rPr>
        <w:t xml:space="preserve"> d’unités de méthanisation se heurtent </w:t>
      </w:r>
      <w:r>
        <w:rPr>
          <w:rFonts w:ascii="Arial" w:hAnsi="Arial" w:cs="Arial"/>
          <w:szCs w:val="26"/>
        </w:rPr>
        <w:t>parfois à</w:t>
      </w:r>
      <w:r w:rsidRPr="00855D88">
        <w:rPr>
          <w:rFonts w:ascii="Arial" w:hAnsi="Arial" w:cs="Arial"/>
          <w:szCs w:val="26"/>
        </w:rPr>
        <w:t xml:space="preserve"> problèmes d’acceptabilité sociale</w:t>
      </w:r>
      <w:r>
        <w:rPr>
          <w:rFonts w:ascii="Arial" w:hAnsi="Arial" w:cs="Arial"/>
          <w:szCs w:val="26"/>
        </w:rPr>
        <w:t xml:space="preserve"> et </w:t>
      </w:r>
      <w:r w:rsidRPr="00855D88">
        <w:rPr>
          <w:rFonts w:ascii="Arial" w:hAnsi="Arial" w:cs="Arial"/>
          <w:szCs w:val="26"/>
        </w:rPr>
        <w:t xml:space="preserve">font l’objet de contestations, voire de recours administratifs, </w:t>
      </w:r>
      <w:r>
        <w:rPr>
          <w:rFonts w:ascii="Arial" w:hAnsi="Arial" w:cs="Arial"/>
          <w:szCs w:val="26"/>
        </w:rPr>
        <w:t xml:space="preserve">pouvant </w:t>
      </w:r>
      <w:r w:rsidRPr="00855D88">
        <w:rPr>
          <w:rFonts w:ascii="Arial" w:hAnsi="Arial" w:cs="Arial"/>
          <w:szCs w:val="26"/>
        </w:rPr>
        <w:t>engendr</w:t>
      </w:r>
      <w:r>
        <w:rPr>
          <w:rFonts w:ascii="Arial" w:hAnsi="Arial" w:cs="Arial"/>
          <w:szCs w:val="26"/>
        </w:rPr>
        <w:t xml:space="preserve">er d’importantes difficultés </w:t>
      </w:r>
      <w:r w:rsidRPr="00855D88">
        <w:rPr>
          <w:rFonts w:ascii="Arial" w:hAnsi="Arial" w:cs="Arial"/>
          <w:szCs w:val="26"/>
        </w:rPr>
        <w:t>dans leur développement.</w:t>
      </w:r>
      <w:r>
        <w:rPr>
          <w:rFonts w:ascii="Arial" w:hAnsi="Arial" w:cs="Arial"/>
          <w:szCs w:val="26"/>
        </w:rPr>
        <w:t xml:space="preserve"> L’enjeu est donc désormais de continuer à favoriser</w:t>
      </w:r>
      <w:r w:rsidRPr="00855D88">
        <w:rPr>
          <w:rFonts w:ascii="Arial" w:hAnsi="Arial" w:cs="Arial"/>
          <w:szCs w:val="26"/>
        </w:rPr>
        <w:t xml:space="preserve"> </w:t>
      </w:r>
      <w:r>
        <w:rPr>
          <w:rFonts w:ascii="Arial" w:hAnsi="Arial" w:cs="Arial"/>
          <w:szCs w:val="26"/>
        </w:rPr>
        <w:t>l’</w:t>
      </w:r>
      <w:r w:rsidRPr="00855D88">
        <w:rPr>
          <w:rFonts w:ascii="Arial" w:hAnsi="Arial" w:cs="Arial"/>
          <w:szCs w:val="26"/>
        </w:rPr>
        <w:t>émerge</w:t>
      </w:r>
      <w:r>
        <w:rPr>
          <w:rFonts w:ascii="Arial" w:hAnsi="Arial" w:cs="Arial"/>
          <w:szCs w:val="26"/>
        </w:rPr>
        <w:t>nce</w:t>
      </w:r>
      <w:r w:rsidRPr="00855D88">
        <w:rPr>
          <w:rFonts w:ascii="Arial" w:hAnsi="Arial" w:cs="Arial"/>
          <w:szCs w:val="26"/>
        </w:rPr>
        <w:t xml:space="preserve"> de projets</w:t>
      </w:r>
      <w:r w:rsidR="000846C6">
        <w:rPr>
          <w:rFonts w:ascii="Arial" w:hAnsi="Arial" w:cs="Arial"/>
          <w:szCs w:val="26"/>
        </w:rPr>
        <w:t xml:space="preserve"> vertueux</w:t>
      </w:r>
      <w:r>
        <w:rPr>
          <w:rFonts w:ascii="Arial" w:hAnsi="Arial" w:cs="Arial"/>
          <w:szCs w:val="26"/>
        </w:rPr>
        <w:t xml:space="preserve"> tout</w:t>
      </w:r>
      <w:r w:rsidRPr="00855D88">
        <w:rPr>
          <w:rFonts w:ascii="Arial" w:hAnsi="Arial" w:cs="Arial"/>
          <w:szCs w:val="26"/>
        </w:rPr>
        <w:t xml:space="preserve"> </w:t>
      </w:r>
      <w:r>
        <w:rPr>
          <w:rFonts w:ascii="Arial" w:hAnsi="Arial" w:cs="Arial"/>
          <w:szCs w:val="26"/>
        </w:rPr>
        <w:t xml:space="preserve">en tenant </w:t>
      </w:r>
      <w:r w:rsidR="000846C6">
        <w:rPr>
          <w:rFonts w:ascii="Arial" w:hAnsi="Arial" w:cs="Arial"/>
          <w:szCs w:val="26"/>
        </w:rPr>
        <w:t xml:space="preserve">compte </w:t>
      </w:r>
      <w:r w:rsidRPr="00855D88">
        <w:rPr>
          <w:rFonts w:ascii="Arial" w:hAnsi="Arial" w:cs="Arial"/>
          <w:szCs w:val="26"/>
        </w:rPr>
        <w:t>des contraintes d’acceptabilité sociale</w:t>
      </w:r>
      <w:r>
        <w:rPr>
          <w:rFonts w:ascii="Arial" w:hAnsi="Arial" w:cs="Arial"/>
          <w:szCs w:val="26"/>
        </w:rPr>
        <w:t>.</w:t>
      </w:r>
    </w:p>
    <w:p w14:paraId="54FF048F" w14:textId="77777777" w:rsidR="00855D88" w:rsidRPr="00855D88" w:rsidRDefault="00855D88" w:rsidP="00855D88">
      <w:pPr>
        <w:pStyle w:val="Paragraphedeliste"/>
        <w:spacing w:after="0" w:line="240" w:lineRule="auto"/>
        <w:contextualSpacing w:val="0"/>
        <w:jc w:val="both"/>
        <w:rPr>
          <w:rFonts w:ascii="Arial" w:hAnsi="Arial" w:cs="Arial"/>
          <w:b/>
          <w:szCs w:val="26"/>
        </w:rPr>
      </w:pPr>
    </w:p>
    <w:p w14:paraId="336917AA" w14:textId="72921986" w:rsidR="00B504E8" w:rsidRDefault="00B504E8" w:rsidP="00B504E8">
      <w:pPr>
        <w:pStyle w:val="Paragraphedeliste"/>
        <w:numPr>
          <w:ilvl w:val="0"/>
          <w:numId w:val="2"/>
        </w:numPr>
        <w:spacing w:after="120" w:line="240" w:lineRule="auto"/>
        <w:jc w:val="both"/>
        <w:rPr>
          <w:rFonts w:ascii="Arial" w:hAnsi="Arial" w:cs="Arial"/>
          <w:szCs w:val="26"/>
        </w:rPr>
      </w:pPr>
      <w:r w:rsidRPr="00B504E8">
        <w:rPr>
          <w:rFonts w:ascii="Arial" w:hAnsi="Arial" w:cs="Arial"/>
          <w:b/>
          <w:szCs w:val="26"/>
        </w:rPr>
        <w:t>Assurer un développement territorial cohérent</w:t>
      </w:r>
      <w:r>
        <w:rPr>
          <w:rFonts w:ascii="Arial" w:hAnsi="Arial" w:cs="Arial"/>
          <w:b/>
          <w:szCs w:val="26"/>
        </w:rPr>
        <w:t xml:space="preserve"> des unités de méthanisation</w:t>
      </w:r>
      <w:r>
        <w:rPr>
          <w:rFonts w:ascii="Arial" w:hAnsi="Arial" w:cs="Arial"/>
          <w:szCs w:val="26"/>
        </w:rPr>
        <w:t> </w:t>
      </w:r>
    </w:p>
    <w:p w14:paraId="1E2B0B85" w14:textId="5EDB909C" w:rsidR="00FC7425" w:rsidRDefault="00B504E8" w:rsidP="00FC7425">
      <w:pPr>
        <w:pStyle w:val="Paragraphedeliste"/>
        <w:spacing w:after="120" w:line="240" w:lineRule="auto"/>
        <w:jc w:val="both"/>
        <w:rPr>
          <w:rFonts w:ascii="Arial" w:hAnsi="Arial" w:cs="Arial"/>
          <w:szCs w:val="26"/>
        </w:rPr>
      </w:pPr>
      <w:r w:rsidRPr="00B504E8">
        <w:rPr>
          <w:rFonts w:ascii="Arial" w:hAnsi="Arial" w:cs="Arial"/>
          <w:szCs w:val="26"/>
        </w:rPr>
        <w:t>La priorité est</w:t>
      </w:r>
      <w:r>
        <w:rPr>
          <w:rFonts w:ascii="Arial" w:hAnsi="Arial" w:cs="Arial"/>
          <w:szCs w:val="26"/>
        </w:rPr>
        <w:t xml:space="preserve"> donnée à</w:t>
      </w:r>
      <w:r w:rsidRPr="00B504E8">
        <w:rPr>
          <w:rFonts w:ascii="Arial" w:hAnsi="Arial" w:cs="Arial"/>
          <w:szCs w:val="26"/>
        </w:rPr>
        <w:t xml:space="preserve"> la sécurisation des projets via un accompagnement </w:t>
      </w:r>
      <w:r>
        <w:rPr>
          <w:rFonts w:ascii="Arial" w:hAnsi="Arial" w:cs="Arial"/>
          <w:szCs w:val="26"/>
        </w:rPr>
        <w:t>adapté</w:t>
      </w:r>
      <w:r w:rsidRPr="00B504E8">
        <w:rPr>
          <w:rFonts w:ascii="Arial" w:hAnsi="Arial" w:cs="Arial"/>
          <w:szCs w:val="26"/>
        </w:rPr>
        <w:t xml:space="preserve"> des territoires et des porteurs en amont des investissements, c’est-à-dire dès l’étude de faisabilité jusqu’à la mise en exploitation des unités de production, afin de prendre en compte l’intégralité du projet dans son environnement</w:t>
      </w:r>
      <w:r>
        <w:rPr>
          <w:rFonts w:ascii="Arial" w:hAnsi="Arial" w:cs="Arial"/>
          <w:szCs w:val="26"/>
        </w:rPr>
        <w:t xml:space="preserve"> : </w:t>
      </w:r>
      <w:r w:rsidRPr="00B504E8">
        <w:rPr>
          <w:rFonts w:ascii="Arial" w:hAnsi="Arial" w:cs="Arial"/>
          <w:szCs w:val="26"/>
        </w:rPr>
        <w:t>étude technic</w:t>
      </w:r>
      <w:r>
        <w:rPr>
          <w:rFonts w:ascii="Arial" w:hAnsi="Arial" w:cs="Arial"/>
          <w:szCs w:val="26"/>
        </w:rPr>
        <w:t>o-</w:t>
      </w:r>
      <w:r w:rsidRPr="00B504E8">
        <w:rPr>
          <w:rFonts w:ascii="Arial" w:hAnsi="Arial" w:cs="Arial"/>
          <w:szCs w:val="26"/>
        </w:rPr>
        <w:t xml:space="preserve">économique fiable, réaliste et neutre – transparence et communication auprès des élus locaux et des riverains des communes </w:t>
      </w:r>
      <w:r>
        <w:rPr>
          <w:rFonts w:ascii="Arial" w:hAnsi="Arial" w:cs="Arial"/>
          <w:szCs w:val="26"/>
        </w:rPr>
        <w:t>qui pourraient être impactées</w:t>
      </w:r>
      <w:r w:rsidRPr="00B504E8">
        <w:rPr>
          <w:rFonts w:ascii="Arial" w:hAnsi="Arial" w:cs="Arial"/>
          <w:szCs w:val="26"/>
        </w:rPr>
        <w:t xml:space="preserve"> par le projet, </w:t>
      </w:r>
      <w:r w:rsidR="002B5D3F" w:rsidRPr="002B5D3F">
        <w:rPr>
          <w:rFonts w:ascii="Arial" w:hAnsi="Arial" w:cs="Arial"/>
          <w:szCs w:val="26"/>
        </w:rPr>
        <w:t>respect des critères énergétiques et environnementaux du « FEDER 2021/2027 » et de « l’Appel A Projet » de l’ADEME pour une méthanisation plus vertueu</w:t>
      </w:r>
      <w:r w:rsidRPr="002B5D3F">
        <w:rPr>
          <w:rFonts w:ascii="Arial" w:hAnsi="Arial" w:cs="Arial"/>
          <w:szCs w:val="26"/>
        </w:rPr>
        <w:t>se,</w:t>
      </w:r>
      <w:r w:rsidR="00855D88" w:rsidRPr="002B5D3F">
        <w:rPr>
          <w:rFonts w:ascii="Arial" w:hAnsi="Arial" w:cs="Arial"/>
          <w:szCs w:val="26"/>
        </w:rPr>
        <w:t xml:space="preserve"> </w:t>
      </w:r>
      <w:r w:rsidR="002B5D3F" w:rsidRPr="002B5D3F">
        <w:rPr>
          <w:rFonts w:ascii="Arial" w:hAnsi="Arial" w:cs="Arial"/>
          <w:szCs w:val="26"/>
        </w:rPr>
        <w:t xml:space="preserve">respect </w:t>
      </w:r>
      <w:r w:rsidR="00855D88" w:rsidRPr="002B5D3F">
        <w:rPr>
          <w:rFonts w:ascii="Arial" w:hAnsi="Arial" w:cs="Arial"/>
          <w:szCs w:val="26"/>
        </w:rPr>
        <w:t>de la réglementation nationale et des objectifs du schéma régional d'aménagement, de développement durable et d'égalité des territoires (SRADDET) …</w:t>
      </w:r>
    </w:p>
    <w:p w14:paraId="13D9E064" w14:textId="77777777" w:rsidR="00FC7425" w:rsidRPr="00FC7425" w:rsidRDefault="00FC7425" w:rsidP="00FC7425">
      <w:pPr>
        <w:pStyle w:val="Paragraphedeliste"/>
        <w:spacing w:after="0" w:line="240" w:lineRule="auto"/>
        <w:contextualSpacing w:val="0"/>
        <w:jc w:val="both"/>
        <w:rPr>
          <w:rFonts w:ascii="Arial" w:hAnsi="Arial" w:cs="Arial"/>
          <w:szCs w:val="26"/>
        </w:rPr>
      </w:pPr>
    </w:p>
    <w:p w14:paraId="5924CFB3" w14:textId="0622FB5B" w:rsidR="00FC7425" w:rsidRDefault="00FC7425" w:rsidP="005A782C">
      <w:pPr>
        <w:spacing w:after="0" w:line="240" w:lineRule="auto"/>
        <w:jc w:val="both"/>
        <w:rPr>
          <w:rFonts w:ascii="Arial" w:hAnsi="Arial" w:cs="Arial"/>
          <w:szCs w:val="26"/>
        </w:rPr>
      </w:pPr>
      <w:r w:rsidRPr="005A782C">
        <w:rPr>
          <w:rFonts w:ascii="Arial" w:hAnsi="Arial" w:cs="Arial"/>
          <w:szCs w:val="26"/>
        </w:rPr>
        <w:t xml:space="preserve">226 000 euros sont mobilisés par la Région Normandie et </w:t>
      </w:r>
      <w:r w:rsidR="000846C6">
        <w:rPr>
          <w:rFonts w:ascii="Arial" w:hAnsi="Arial" w:cs="Arial"/>
          <w:szCs w:val="26"/>
        </w:rPr>
        <w:t>261 560 euros</w:t>
      </w:r>
      <w:r w:rsidRPr="005A782C">
        <w:rPr>
          <w:rFonts w:ascii="Arial" w:hAnsi="Arial" w:cs="Arial"/>
          <w:szCs w:val="26"/>
        </w:rPr>
        <w:t xml:space="preserve"> euros par l’ADEME Normandie dans le cadre du plan </w:t>
      </w:r>
      <w:proofErr w:type="spellStart"/>
      <w:r w:rsidRPr="005A782C">
        <w:rPr>
          <w:rFonts w:ascii="Arial" w:hAnsi="Arial" w:cs="Arial"/>
          <w:szCs w:val="26"/>
        </w:rPr>
        <w:t>Métha’Normandie</w:t>
      </w:r>
      <w:proofErr w:type="spellEnd"/>
      <w:r w:rsidRPr="005A782C">
        <w:rPr>
          <w:rFonts w:ascii="Arial" w:hAnsi="Arial" w:cs="Arial"/>
          <w:szCs w:val="26"/>
        </w:rPr>
        <w:t xml:space="preserve"> 2021-2023. </w:t>
      </w:r>
    </w:p>
    <w:p w14:paraId="5B3B5EDC" w14:textId="77777777" w:rsidR="005A782C" w:rsidRPr="005A782C" w:rsidRDefault="005A782C" w:rsidP="005A782C">
      <w:pPr>
        <w:spacing w:after="0" w:line="240" w:lineRule="auto"/>
        <w:jc w:val="both"/>
        <w:rPr>
          <w:rFonts w:ascii="Arial" w:hAnsi="Arial" w:cs="Arial"/>
          <w:szCs w:val="26"/>
        </w:rPr>
      </w:pPr>
    </w:p>
    <w:p w14:paraId="1EF57863" w14:textId="429BB18C" w:rsidR="00F36A5E" w:rsidRPr="00FC7425" w:rsidRDefault="00FC7425" w:rsidP="00FC7425">
      <w:pPr>
        <w:spacing w:after="120" w:line="240" w:lineRule="auto"/>
        <w:jc w:val="both"/>
        <w:rPr>
          <w:rFonts w:ascii="Arial" w:hAnsi="Arial" w:cs="Arial"/>
          <w:b/>
          <w:sz w:val="26"/>
          <w:szCs w:val="26"/>
        </w:rPr>
      </w:pPr>
      <w:r>
        <w:rPr>
          <w:rFonts w:ascii="Arial" w:hAnsi="Arial" w:cs="Arial"/>
          <w:b/>
          <w:sz w:val="26"/>
          <w:szCs w:val="26"/>
        </w:rPr>
        <w:t>Les</w:t>
      </w:r>
      <w:r w:rsidR="006A359B" w:rsidRPr="006A359B">
        <w:rPr>
          <w:rFonts w:ascii="Arial" w:hAnsi="Arial" w:cs="Arial"/>
          <w:b/>
          <w:sz w:val="26"/>
          <w:szCs w:val="26"/>
        </w:rPr>
        <w:t xml:space="preserve"> 2</w:t>
      </w:r>
      <w:r w:rsidR="006A359B" w:rsidRPr="006A359B">
        <w:rPr>
          <w:rFonts w:ascii="Arial" w:hAnsi="Arial" w:cs="Arial"/>
          <w:b/>
          <w:sz w:val="26"/>
          <w:szCs w:val="26"/>
          <w:vertAlign w:val="superscript"/>
        </w:rPr>
        <w:t xml:space="preserve">èmes </w:t>
      </w:r>
      <w:r w:rsidR="006A359B" w:rsidRPr="006A359B">
        <w:rPr>
          <w:rFonts w:ascii="Arial" w:hAnsi="Arial" w:cs="Arial"/>
          <w:b/>
          <w:sz w:val="26"/>
          <w:szCs w:val="26"/>
        </w:rPr>
        <w:t xml:space="preserve">rencontres régionales de la méthanisation </w:t>
      </w:r>
      <w:r>
        <w:rPr>
          <w:rFonts w:ascii="Arial" w:hAnsi="Arial" w:cs="Arial"/>
          <w:b/>
          <w:sz w:val="26"/>
          <w:szCs w:val="26"/>
        </w:rPr>
        <w:t xml:space="preserve">se dérouleront en ligne </w:t>
      </w:r>
      <w:r w:rsidR="006A359B" w:rsidRPr="00510C1A">
        <w:rPr>
          <w:rFonts w:ascii="Arial" w:hAnsi="Arial" w:cs="Arial"/>
          <w:b/>
          <w:sz w:val="26"/>
          <w:szCs w:val="26"/>
        </w:rPr>
        <w:t>du 30 mars 2021</w:t>
      </w:r>
      <w:r w:rsidR="00F36A5E">
        <w:rPr>
          <w:rFonts w:ascii="Arial" w:hAnsi="Arial" w:cs="Arial"/>
          <w:b/>
          <w:sz w:val="26"/>
          <w:szCs w:val="26"/>
        </w:rPr>
        <w:t xml:space="preserve"> au 2 avril</w:t>
      </w:r>
      <w:r>
        <w:rPr>
          <w:rFonts w:ascii="Arial" w:hAnsi="Arial" w:cs="Arial"/>
          <w:b/>
          <w:sz w:val="26"/>
          <w:szCs w:val="26"/>
        </w:rPr>
        <w:t xml:space="preserve"> 2021 </w:t>
      </w:r>
    </w:p>
    <w:p w14:paraId="633607CD" w14:textId="77777777" w:rsidR="00F36A5E" w:rsidRDefault="00F36A5E" w:rsidP="00F36A5E">
      <w:pPr>
        <w:spacing w:after="0" w:line="240" w:lineRule="auto"/>
        <w:jc w:val="both"/>
        <w:rPr>
          <w:rFonts w:ascii="Arial" w:hAnsi="Arial" w:cs="Arial"/>
          <w:szCs w:val="26"/>
        </w:rPr>
      </w:pPr>
      <w:r>
        <w:rPr>
          <w:rFonts w:ascii="Arial" w:hAnsi="Arial" w:cs="Arial"/>
          <w:szCs w:val="26"/>
        </w:rPr>
        <w:t>Après une première édition qui</w:t>
      </w:r>
      <w:r w:rsidRPr="00F36A5E">
        <w:rPr>
          <w:rFonts w:ascii="Arial" w:hAnsi="Arial" w:cs="Arial"/>
          <w:szCs w:val="26"/>
        </w:rPr>
        <w:t xml:space="preserve"> avait réuni, en juin 2018, plus de 300 personnes au Palais des Congrès de Caen</w:t>
      </w:r>
      <w:r>
        <w:rPr>
          <w:rFonts w:ascii="Arial" w:hAnsi="Arial" w:cs="Arial"/>
          <w:szCs w:val="26"/>
        </w:rPr>
        <w:t xml:space="preserve">, </w:t>
      </w:r>
      <w:r w:rsidRPr="00F36A5E">
        <w:rPr>
          <w:rFonts w:ascii="Arial" w:hAnsi="Arial" w:cs="Arial"/>
          <w:szCs w:val="26"/>
        </w:rPr>
        <w:t>les partenaires</w:t>
      </w:r>
      <w:r>
        <w:rPr>
          <w:rFonts w:ascii="Arial" w:hAnsi="Arial" w:cs="Arial"/>
          <w:szCs w:val="26"/>
        </w:rPr>
        <w:t xml:space="preserve"> normands</w:t>
      </w:r>
      <w:r w:rsidRPr="00F36A5E">
        <w:rPr>
          <w:rFonts w:ascii="Arial" w:hAnsi="Arial" w:cs="Arial"/>
          <w:szCs w:val="26"/>
        </w:rPr>
        <w:t xml:space="preserve"> </w:t>
      </w:r>
      <w:r>
        <w:rPr>
          <w:rFonts w:ascii="Arial" w:hAnsi="Arial" w:cs="Arial"/>
          <w:szCs w:val="26"/>
        </w:rPr>
        <w:t>de la méthanisation</w:t>
      </w:r>
      <w:r w:rsidRPr="00F36A5E">
        <w:rPr>
          <w:rFonts w:ascii="Arial" w:hAnsi="Arial" w:cs="Arial"/>
          <w:szCs w:val="26"/>
        </w:rPr>
        <w:t xml:space="preserve"> </w:t>
      </w:r>
      <w:r>
        <w:rPr>
          <w:rFonts w:ascii="Arial" w:hAnsi="Arial" w:cs="Arial"/>
          <w:szCs w:val="26"/>
        </w:rPr>
        <w:t>organisent, d</w:t>
      </w:r>
      <w:r w:rsidRPr="00F36A5E">
        <w:rPr>
          <w:rFonts w:ascii="Arial" w:hAnsi="Arial" w:cs="Arial"/>
          <w:szCs w:val="26"/>
        </w:rPr>
        <w:t>u 30 mars au 2 avril</w:t>
      </w:r>
      <w:r>
        <w:rPr>
          <w:rFonts w:ascii="Arial" w:hAnsi="Arial" w:cs="Arial"/>
          <w:szCs w:val="26"/>
        </w:rPr>
        <w:t xml:space="preserve"> 2021</w:t>
      </w:r>
      <w:r w:rsidRPr="00F36A5E">
        <w:rPr>
          <w:rFonts w:ascii="Arial" w:hAnsi="Arial" w:cs="Arial"/>
          <w:szCs w:val="26"/>
        </w:rPr>
        <w:t xml:space="preserve">, </w:t>
      </w:r>
      <w:r>
        <w:rPr>
          <w:rFonts w:ascii="Arial" w:hAnsi="Arial" w:cs="Arial"/>
          <w:szCs w:val="26"/>
        </w:rPr>
        <w:t>un</w:t>
      </w:r>
      <w:r w:rsidRPr="00F36A5E">
        <w:rPr>
          <w:rFonts w:ascii="Arial" w:hAnsi="Arial" w:cs="Arial"/>
          <w:szCs w:val="26"/>
        </w:rPr>
        <w:t xml:space="preserve"> </w:t>
      </w:r>
      <w:r>
        <w:rPr>
          <w:rFonts w:ascii="Arial" w:hAnsi="Arial" w:cs="Arial"/>
          <w:szCs w:val="26"/>
        </w:rPr>
        <w:t xml:space="preserve">nouvel </w:t>
      </w:r>
      <w:r w:rsidRPr="00F36A5E">
        <w:rPr>
          <w:rFonts w:ascii="Arial" w:hAnsi="Arial" w:cs="Arial"/>
          <w:szCs w:val="26"/>
        </w:rPr>
        <w:t>événement</w:t>
      </w:r>
      <w:r>
        <w:rPr>
          <w:rFonts w:ascii="Arial" w:hAnsi="Arial" w:cs="Arial"/>
          <w:szCs w:val="26"/>
        </w:rPr>
        <w:t xml:space="preserve"> régional</w:t>
      </w:r>
      <w:r w:rsidRPr="00F36A5E">
        <w:rPr>
          <w:rFonts w:ascii="Arial" w:hAnsi="Arial" w:cs="Arial"/>
          <w:szCs w:val="26"/>
        </w:rPr>
        <w:t xml:space="preserve"> à destination de l’ensemble des acteurs de la filière</w:t>
      </w:r>
      <w:r>
        <w:rPr>
          <w:rFonts w:ascii="Arial" w:hAnsi="Arial" w:cs="Arial"/>
          <w:szCs w:val="26"/>
        </w:rPr>
        <w:t xml:space="preserve"> (a</w:t>
      </w:r>
      <w:r w:rsidRPr="00F36A5E">
        <w:rPr>
          <w:rFonts w:ascii="Arial" w:hAnsi="Arial" w:cs="Arial"/>
          <w:szCs w:val="26"/>
        </w:rPr>
        <w:t>griculteurs, porteurs de projets, industriels, collectivités, entreprises, étudiants</w:t>
      </w:r>
      <w:r>
        <w:rPr>
          <w:rFonts w:ascii="Arial" w:hAnsi="Arial" w:cs="Arial"/>
          <w:szCs w:val="26"/>
        </w:rPr>
        <w:t xml:space="preserve">…). </w:t>
      </w:r>
    </w:p>
    <w:p w14:paraId="735D55AA" w14:textId="77777777" w:rsidR="00F36A5E" w:rsidRDefault="00F36A5E" w:rsidP="00F36A5E">
      <w:pPr>
        <w:spacing w:after="0" w:line="240" w:lineRule="auto"/>
        <w:jc w:val="both"/>
        <w:rPr>
          <w:rFonts w:ascii="Arial" w:hAnsi="Arial" w:cs="Arial"/>
          <w:szCs w:val="26"/>
        </w:rPr>
      </w:pPr>
    </w:p>
    <w:p w14:paraId="158549D3" w14:textId="2AD61E83" w:rsidR="00F36A5E" w:rsidRDefault="00F36A5E" w:rsidP="00F36A5E">
      <w:pPr>
        <w:spacing w:after="0" w:line="240" w:lineRule="auto"/>
        <w:jc w:val="both"/>
        <w:rPr>
          <w:rFonts w:ascii="Arial" w:hAnsi="Arial" w:cs="Arial"/>
          <w:szCs w:val="26"/>
        </w:rPr>
      </w:pPr>
      <w:r>
        <w:rPr>
          <w:rFonts w:ascii="Arial" w:hAnsi="Arial" w:cs="Arial"/>
          <w:szCs w:val="26"/>
        </w:rPr>
        <w:t xml:space="preserve">Compte-tenu de la situation sanitaire, cet événement se déroulera en ligne. </w:t>
      </w:r>
    </w:p>
    <w:p w14:paraId="17111C2D" w14:textId="77777777" w:rsidR="00F36A5E" w:rsidRPr="00F36A5E" w:rsidRDefault="00F36A5E" w:rsidP="00F36A5E">
      <w:pPr>
        <w:spacing w:after="0" w:line="240" w:lineRule="auto"/>
        <w:jc w:val="both"/>
        <w:rPr>
          <w:rFonts w:ascii="Arial" w:hAnsi="Arial" w:cs="Arial"/>
          <w:szCs w:val="26"/>
        </w:rPr>
      </w:pPr>
    </w:p>
    <w:p w14:paraId="0672B4AE" w14:textId="77777777" w:rsidR="00F36A5E" w:rsidRPr="00F36A5E" w:rsidRDefault="00F36A5E" w:rsidP="00F36A5E">
      <w:pPr>
        <w:spacing w:after="0" w:line="240" w:lineRule="auto"/>
        <w:jc w:val="both"/>
        <w:rPr>
          <w:rFonts w:ascii="Arial" w:hAnsi="Arial" w:cs="Arial"/>
          <w:szCs w:val="26"/>
        </w:rPr>
      </w:pPr>
      <w:r w:rsidRPr="00F36A5E">
        <w:rPr>
          <w:rFonts w:ascii="Arial" w:hAnsi="Arial" w:cs="Arial"/>
          <w:szCs w:val="26"/>
        </w:rPr>
        <w:lastRenderedPageBreak/>
        <w:t>La matinée du 30 mars sera dédiée à un colloque en direct avec les principaux représentants de la filière. Etat des lieux de la filière, renforcement des réseaux, appropriation locale des projets seront au programme de cette plénière.</w:t>
      </w:r>
    </w:p>
    <w:p w14:paraId="52ED643E" w14:textId="5698D740" w:rsidR="00F36A5E" w:rsidRPr="00F36A5E" w:rsidRDefault="00F36A5E" w:rsidP="00F36A5E">
      <w:pPr>
        <w:spacing w:after="0" w:line="240" w:lineRule="auto"/>
        <w:jc w:val="both"/>
        <w:rPr>
          <w:rFonts w:ascii="Arial" w:hAnsi="Arial" w:cs="Arial"/>
          <w:szCs w:val="26"/>
        </w:rPr>
      </w:pPr>
      <w:r w:rsidRPr="00F36A5E">
        <w:rPr>
          <w:rFonts w:ascii="Arial" w:hAnsi="Arial" w:cs="Arial"/>
          <w:szCs w:val="26"/>
        </w:rPr>
        <w:t xml:space="preserve"> </w:t>
      </w:r>
    </w:p>
    <w:p w14:paraId="782B8F96" w14:textId="77777777" w:rsidR="00F36A5E" w:rsidRPr="00F36A5E" w:rsidRDefault="00F36A5E" w:rsidP="00F36A5E">
      <w:pPr>
        <w:spacing w:after="0" w:line="240" w:lineRule="auto"/>
        <w:jc w:val="both"/>
        <w:rPr>
          <w:rFonts w:ascii="Arial" w:hAnsi="Arial" w:cs="Arial"/>
          <w:szCs w:val="26"/>
        </w:rPr>
      </w:pPr>
      <w:r w:rsidRPr="00F36A5E">
        <w:rPr>
          <w:rFonts w:ascii="Arial" w:hAnsi="Arial" w:cs="Arial"/>
          <w:szCs w:val="26"/>
        </w:rPr>
        <w:t xml:space="preserve">Le 30 mars après-midi, les participants pourront programmer des rendez-vous </w:t>
      </w:r>
      <w:proofErr w:type="spellStart"/>
      <w:r w:rsidRPr="00F36A5E">
        <w:rPr>
          <w:rFonts w:ascii="Arial" w:hAnsi="Arial" w:cs="Arial"/>
          <w:szCs w:val="26"/>
        </w:rPr>
        <w:t>visio</w:t>
      </w:r>
      <w:proofErr w:type="spellEnd"/>
      <w:r w:rsidRPr="00F36A5E">
        <w:rPr>
          <w:rFonts w:ascii="Arial" w:hAnsi="Arial" w:cs="Arial"/>
          <w:szCs w:val="26"/>
        </w:rPr>
        <w:t xml:space="preserve"> de 15min. Ces rendez-vous sont une opportunité pour élargir votre réseau et rencontrer de futurs partenaires pour vos projets.</w:t>
      </w:r>
    </w:p>
    <w:p w14:paraId="3223CA2A" w14:textId="4B833218" w:rsidR="00F36A5E" w:rsidRPr="00F36A5E" w:rsidRDefault="00F36A5E" w:rsidP="00F36A5E">
      <w:pPr>
        <w:spacing w:after="0" w:line="240" w:lineRule="auto"/>
        <w:jc w:val="both"/>
        <w:rPr>
          <w:rFonts w:ascii="Arial" w:hAnsi="Arial" w:cs="Arial"/>
          <w:szCs w:val="26"/>
        </w:rPr>
      </w:pPr>
      <w:r w:rsidRPr="00F36A5E">
        <w:rPr>
          <w:rFonts w:ascii="Arial" w:hAnsi="Arial" w:cs="Arial"/>
          <w:szCs w:val="26"/>
        </w:rPr>
        <w:t xml:space="preserve"> </w:t>
      </w:r>
    </w:p>
    <w:p w14:paraId="220F73D8" w14:textId="77777777" w:rsidR="00F36A5E" w:rsidRPr="00F36A5E" w:rsidRDefault="00F36A5E" w:rsidP="00F36A5E">
      <w:pPr>
        <w:spacing w:after="0" w:line="240" w:lineRule="auto"/>
        <w:jc w:val="both"/>
        <w:rPr>
          <w:rFonts w:ascii="Arial" w:hAnsi="Arial" w:cs="Arial"/>
          <w:szCs w:val="26"/>
        </w:rPr>
      </w:pPr>
      <w:r w:rsidRPr="00F36A5E">
        <w:rPr>
          <w:rFonts w:ascii="Arial" w:hAnsi="Arial" w:cs="Arial"/>
          <w:szCs w:val="26"/>
        </w:rPr>
        <w:t xml:space="preserve">Les rencontres régionales se prolongeront jusqu’au 2 avril au travers de 4 webinaires thématiques : retour au sol des digestats, diversification du financement des projets, bio-GNV et </w:t>
      </w:r>
      <w:proofErr w:type="spellStart"/>
      <w:r w:rsidRPr="00F36A5E">
        <w:rPr>
          <w:rFonts w:ascii="Arial" w:hAnsi="Arial" w:cs="Arial"/>
          <w:szCs w:val="26"/>
        </w:rPr>
        <w:t>bio-déchets</w:t>
      </w:r>
      <w:proofErr w:type="spellEnd"/>
      <w:r w:rsidRPr="00F36A5E">
        <w:rPr>
          <w:rFonts w:ascii="Arial" w:hAnsi="Arial" w:cs="Arial"/>
          <w:szCs w:val="26"/>
        </w:rPr>
        <w:t>.</w:t>
      </w:r>
    </w:p>
    <w:p w14:paraId="45DBDCFE" w14:textId="77777777" w:rsidR="00F36A5E" w:rsidRPr="00F36A5E" w:rsidRDefault="00F36A5E" w:rsidP="00F36A5E">
      <w:pPr>
        <w:spacing w:after="0" w:line="240" w:lineRule="auto"/>
        <w:jc w:val="both"/>
        <w:rPr>
          <w:rFonts w:ascii="Arial" w:hAnsi="Arial" w:cs="Arial"/>
          <w:szCs w:val="26"/>
        </w:rPr>
      </w:pPr>
    </w:p>
    <w:p w14:paraId="3B9C54C5" w14:textId="541883C0" w:rsidR="00F36A5E" w:rsidRDefault="00F36A5E" w:rsidP="00F36A5E">
      <w:pPr>
        <w:spacing w:after="0" w:line="240" w:lineRule="auto"/>
        <w:rPr>
          <w:rFonts w:ascii="Arial" w:hAnsi="Arial" w:cs="Arial"/>
          <w:szCs w:val="26"/>
        </w:rPr>
      </w:pPr>
      <w:r w:rsidRPr="00F36A5E">
        <w:rPr>
          <w:rFonts w:ascii="Arial" w:hAnsi="Arial" w:cs="Arial"/>
          <w:b/>
          <w:szCs w:val="26"/>
        </w:rPr>
        <w:t>Plus d’informations et programme complet à l’adresse suivante :</w:t>
      </w:r>
      <w:r>
        <w:rPr>
          <w:rFonts w:ascii="Arial" w:hAnsi="Arial" w:cs="Arial"/>
          <w:szCs w:val="26"/>
        </w:rPr>
        <w:br/>
      </w:r>
      <w:hyperlink r:id="rId16" w:history="1">
        <w:r w:rsidRPr="00F36A5E">
          <w:rPr>
            <w:rStyle w:val="Lienhypertexte"/>
            <w:rFonts w:ascii="Arial" w:hAnsi="Arial" w:cs="Arial"/>
            <w:b/>
            <w:szCs w:val="26"/>
          </w:rPr>
          <w:t>https://rencontresmethanisationnormandie.marcom-ace.com/</w:t>
        </w:r>
      </w:hyperlink>
      <w:r>
        <w:rPr>
          <w:rFonts w:ascii="Arial" w:hAnsi="Arial" w:cs="Arial"/>
          <w:szCs w:val="26"/>
        </w:rPr>
        <w:t xml:space="preserve"> </w:t>
      </w:r>
    </w:p>
    <w:p w14:paraId="2240130C" w14:textId="0E1E145E" w:rsidR="006A359B" w:rsidRDefault="006A359B" w:rsidP="006A359B">
      <w:pPr>
        <w:jc w:val="both"/>
        <w:rPr>
          <w:rFonts w:ascii="Arial" w:hAnsi="Arial" w:cs="Arial"/>
          <w:b/>
          <w:sz w:val="26"/>
          <w:szCs w:val="26"/>
        </w:rPr>
      </w:pPr>
    </w:p>
    <w:tbl>
      <w:tblPr>
        <w:tblStyle w:val="Grilledutableau"/>
        <w:tblW w:w="9242" w:type="dxa"/>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242"/>
      </w:tblGrid>
      <w:tr w:rsidR="00FC7425" w14:paraId="36D02CB2" w14:textId="77777777" w:rsidTr="002B5D3F">
        <w:trPr>
          <w:trHeight w:val="3075"/>
        </w:trPr>
        <w:tc>
          <w:tcPr>
            <w:tcW w:w="9242"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tcMar>
              <w:left w:w="170" w:type="dxa"/>
              <w:right w:w="170" w:type="dxa"/>
            </w:tcMar>
          </w:tcPr>
          <w:p w14:paraId="0239BED0" w14:textId="77777777" w:rsidR="00FC7425" w:rsidRPr="00FC7425" w:rsidRDefault="00FC7425" w:rsidP="00FC7425">
            <w:pPr>
              <w:jc w:val="center"/>
              <w:rPr>
                <w:rFonts w:ascii="Arial" w:hAnsi="Arial" w:cs="Arial"/>
                <w:b/>
                <w:sz w:val="16"/>
                <w:szCs w:val="26"/>
              </w:rPr>
            </w:pPr>
          </w:p>
          <w:p w14:paraId="241BA22C" w14:textId="02409250" w:rsidR="00FC7425" w:rsidRDefault="00FC7425" w:rsidP="00FC7425">
            <w:pPr>
              <w:jc w:val="center"/>
              <w:rPr>
                <w:rFonts w:ascii="Arial" w:hAnsi="Arial" w:cs="Arial"/>
                <w:b/>
                <w:sz w:val="26"/>
                <w:szCs w:val="26"/>
              </w:rPr>
            </w:pPr>
            <w:r>
              <w:rPr>
                <w:rFonts w:ascii="Arial" w:hAnsi="Arial" w:cs="Arial"/>
                <w:b/>
                <w:sz w:val="26"/>
                <w:szCs w:val="26"/>
              </w:rPr>
              <w:t xml:space="preserve">La méthanisation en Normandie </w:t>
            </w:r>
          </w:p>
          <w:p w14:paraId="7085A3E2" w14:textId="2FB96101" w:rsidR="00FC7425" w:rsidRDefault="00FC7425" w:rsidP="00FC7425">
            <w:pPr>
              <w:jc w:val="center"/>
              <w:rPr>
                <w:rFonts w:ascii="Arial" w:hAnsi="Arial" w:cs="Arial"/>
                <w:b/>
                <w:sz w:val="26"/>
                <w:szCs w:val="26"/>
              </w:rPr>
            </w:pPr>
          </w:p>
          <w:p w14:paraId="40649AD7" w14:textId="114F9498" w:rsidR="00FC7425" w:rsidRDefault="00EC1D10" w:rsidP="00FC7425">
            <w:pPr>
              <w:jc w:val="both"/>
              <w:rPr>
                <w:rFonts w:ascii="Arial" w:hAnsi="Arial" w:cs="Arial"/>
                <w:sz w:val="20"/>
                <w:szCs w:val="26"/>
              </w:rPr>
            </w:pPr>
            <w:r w:rsidRPr="00EC1D10">
              <w:rPr>
                <w:rFonts w:ascii="Arial" w:hAnsi="Arial" w:cs="Arial"/>
                <w:sz w:val="20"/>
                <w:szCs w:val="26"/>
              </w:rPr>
              <w:t xml:space="preserve">Le nombre d’unités de méthanisation en service (hors centre d’enfouissement) a doublé sur la période 2018-2020 et est aujourd’hui de </w:t>
            </w:r>
            <w:r w:rsidRPr="00EC1D10">
              <w:rPr>
                <w:rFonts w:ascii="Arial" w:hAnsi="Arial" w:cs="Arial"/>
                <w:b/>
                <w:sz w:val="20"/>
                <w:szCs w:val="26"/>
              </w:rPr>
              <w:t>116 dont 14 unités en injection biométhane</w:t>
            </w:r>
            <w:r w:rsidRPr="00EC1D10">
              <w:rPr>
                <w:rFonts w:ascii="Arial" w:hAnsi="Arial" w:cs="Arial"/>
                <w:sz w:val="20"/>
                <w:szCs w:val="26"/>
              </w:rPr>
              <w:t xml:space="preserve">. Une très forte dynamique est, par ailleurs, constatée avec </w:t>
            </w:r>
            <w:r w:rsidRPr="00EC1D10">
              <w:rPr>
                <w:rFonts w:ascii="Arial" w:hAnsi="Arial" w:cs="Arial"/>
                <w:b/>
                <w:sz w:val="20"/>
                <w:szCs w:val="26"/>
              </w:rPr>
              <w:t>plusieurs dizaines de projets en cours de développement</w:t>
            </w:r>
            <w:r w:rsidRPr="00EC1D10">
              <w:rPr>
                <w:rFonts w:ascii="Arial" w:hAnsi="Arial" w:cs="Arial"/>
                <w:sz w:val="20"/>
                <w:szCs w:val="26"/>
              </w:rPr>
              <w:t xml:space="preserve">. Ce développement permet d’atteindre </w:t>
            </w:r>
            <w:r w:rsidRPr="00EC1D10">
              <w:rPr>
                <w:rFonts w:ascii="Arial" w:hAnsi="Arial" w:cs="Arial"/>
                <w:b/>
                <w:sz w:val="20"/>
                <w:szCs w:val="26"/>
              </w:rPr>
              <w:t>plus de 20 % de l’objectif 2030 quant à la part du gaz renouvelable dans la consommation de gaz et 35 % de l’objectif 2030 pour l’électricité renouvelable issu du biogaz</w:t>
            </w:r>
            <w:r w:rsidRPr="00EC1D10">
              <w:rPr>
                <w:rFonts w:ascii="Arial" w:hAnsi="Arial" w:cs="Arial"/>
                <w:sz w:val="20"/>
                <w:szCs w:val="26"/>
              </w:rPr>
              <w:t xml:space="preserve"> (hors centre d’enfouissement). </w:t>
            </w:r>
          </w:p>
          <w:p w14:paraId="3504461D" w14:textId="77777777" w:rsidR="00EC1D10" w:rsidRPr="002B5D3F" w:rsidRDefault="00EC1D10" w:rsidP="00FC7425">
            <w:pPr>
              <w:jc w:val="both"/>
              <w:rPr>
                <w:rFonts w:ascii="Arial" w:hAnsi="Arial" w:cs="Arial"/>
                <w:sz w:val="20"/>
                <w:szCs w:val="26"/>
              </w:rPr>
            </w:pPr>
          </w:p>
          <w:p w14:paraId="75CB27B2" w14:textId="26F37C68" w:rsidR="00FC7425" w:rsidRPr="002B5D3F" w:rsidRDefault="00FC7425" w:rsidP="00FC7425">
            <w:pPr>
              <w:jc w:val="both"/>
              <w:rPr>
                <w:rFonts w:ascii="Arial" w:hAnsi="Arial" w:cs="Arial"/>
                <w:sz w:val="20"/>
                <w:szCs w:val="26"/>
              </w:rPr>
            </w:pPr>
            <w:r w:rsidRPr="002B5D3F">
              <w:rPr>
                <w:rFonts w:ascii="Arial" w:hAnsi="Arial" w:cs="Arial"/>
                <w:sz w:val="20"/>
                <w:szCs w:val="26"/>
              </w:rPr>
              <w:t>La Manche, le Calvados et l’Orne concentrent la majorité des unités qui sont plutôt de type agricole valorisant principalement des effluents d’élevage, alors que l’Eure et la Seine Maritime se caractérisent par des installations agro-industrielles faisant appel à des intrants d’origines plus variées incluant des industries agro-alimentaires et de pap</w:t>
            </w:r>
            <w:r w:rsidR="005A782C" w:rsidRPr="002B5D3F">
              <w:rPr>
                <w:rFonts w:ascii="Arial" w:hAnsi="Arial" w:cs="Arial"/>
                <w:sz w:val="20"/>
                <w:szCs w:val="26"/>
              </w:rPr>
              <w:t>e</w:t>
            </w:r>
            <w:r w:rsidRPr="002B5D3F">
              <w:rPr>
                <w:rFonts w:ascii="Arial" w:hAnsi="Arial" w:cs="Arial"/>
                <w:sz w:val="20"/>
                <w:szCs w:val="26"/>
              </w:rPr>
              <w:t>terie, avec des tonnages souvent plus élevés.</w:t>
            </w:r>
          </w:p>
          <w:p w14:paraId="6D56D256" w14:textId="53293FE9" w:rsidR="00FC7425" w:rsidRDefault="00FC7425" w:rsidP="00FC7425">
            <w:pPr>
              <w:jc w:val="center"/>
              <w:rPr>
                <w:rFonts w:ascii="Arial" w:hAnsi="Arial" w:cs="Arial"/>
                <w:b/>
                <w:sz w:val="26"/>
                <w:szCs w:val="26"/>
              </w:rPr>
            </w:pPr>
          </w:p>
        </w:tc>
      </w:tr>
      <w:tr w:rsidR="00FC7425" w14:paraId="64262258" w14:textId="77777777" w:rsidTr="002B5D3F">
        <w:trPr>
          <w:trHeight w:val="6228"/>
        </w:trPr>
        <w:tc>
          <w:tcPr>
            <w:tcW w:w="9242" w:type="dxa"/>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left w:w="170" w:type="dxa"/>
              <w:right w:w="170" w:type="dxa"/>
            </w:tcMar>
          </w:tcPr>
          <w:p w14:paraId="6B4F8174" w14:textId="0BDABC9A" w:rsidR="00FC7425" w:rsidRDefault="00FC7425" w:rsidP="00FC7425">
            <w:pPr>
              <w:jc w:val="center"/>
              <w:rPr>
                <w:rFonts w:ascii="Arial" w:hAnsi="Arial" w:cs="Arial"/>
                <w:b/>
                <w:sz w:val="26"/>
                <w:szCs w:val="26"/>
              </w:rPr>
            </w:pPr>
            <w:r>
              <w:rPr>
                <w:rFonts w:ascii="Arial" w:hAnsi="Arial" w:cs="Arial"/>
                <w:b/>
                <w:noProof/>
                <w:sz w:val="26"/>
                <w:szCs w:val="26"/>
              </w:rPr>
              <w:drawing>
                <wp:inline distT="0" distB="0" distL="0" distR="0" wp14:anchorId="7E05EF5C" wp14:editId="79D9D8F7">
                  <wp:extent cx="5400675" cy="3823270"/>
                  <wp:effectExtent l="0" t="0" r="0" b="635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28384" cy="3842886"/>
                          </a:xfrm>
                          <a:prstGeom prst="rect">
                            <a:avLst/>
                          </a:prstGeom>
                          <a:noFill/>
                        </pic:spPr>
                      </pic:pic>
                    </a:graphicData>
                  </a:graphic>
                </wp:inline>
              </w:drawing>
            </w:r>
          </w:p>
        </w:tc>
      </w:tr>
    </w:tbl>
    <w:p w14:paraId="04F0FF60" w14:textId="77777777" w:rsidR="005A782C" w:rsidRDefault="005A782C" w:rsidP="00510C1A">
      <w:pPr>
        <w:spacing w:after="0" w:line="240" w:lineRule="auto"/>
        <w:jc w:val="both"/>
        <w:rPr>
          <w:rFonts w:ascii="Arial" w:hAnsi="Arial" w:cs="Arial"/>
          <w:szCs w:val="26"/>
        </w:rPr>
      </w:pPr>
    </w:p>
    <w:bookmarkEnd w:id="0"/>
    <w:p w14:paraId="59AF28F6" w14:textId="46A39B93" w:rsidR="00A2515E" w:rsidRDefault="00A2515E" w:rsidP="002B5D3F">
      <w:pPr>
        <w:spacing w:after="0" w:line="240" w:lineRule="auto"/>
        <w:jc w:val="both"/>
        <w:rPr>
          <w:rFonts w:ascii="Arial" w:hAnsi="Arial" w:cs="Arial"/>
          <w:szCs w:val="26"/>
        </w:rPr>
      </w:pPr>
    </w:p>
    <w:p w14:paraId="0D3D65D6" w14:textId="77777777" w:rsidR="005D56BC" w:rsidRPr="005D56BC" w:rsidRDefault="005D56BC" w:rsidP="005D56BC">
      <w:pPr>
        <w:spacing w:after="0" w:line="240" w:lineRule="auto"/>
        <w:jc w:val="both"/>
        <w:rPr>
          <w:rFonts w:ascii="Arial" w:eastAsia="Calibri" w:hAnsi="Arial" w:cs="Arial"/>
          <w:i/>
          <w:iCs/>
          <w:color w:val="FF0000"/>
        </w:rPr>
      </w:pPr>
    </w:p>
    <w:tbl>
      <w:tblPr>
        <w:tblW w:w="0" w:type="auto"/>
        <w:tblCellMar>
          <w:left w:w="0" w:type="dxa"/>
          <w:right w:w="0" w:type="dxa"/>
        </w:tblCellMar>
        <w:tblLook w:val="04A0" w:firstRow="1" w:lastRow="0" w:firstColumn="1" w:lastColumn="0" w:noHBand="0" w:noVBand="1"/>
      </w:tblPr>
      <w:tblGrid>
        <w:gridCol w:w="3344"/>
        <w:gridCol w:w="3182"/>
        <w:gridCol w:w="2536"/>
      </w:tblGrid>
      <w:tr w:rsidR="005D56BC" w:rsidRPr="005D56BC" w14:paraId="0E7439A5" w14:textId="77777777" w:rsidTr="005D56BC">
        <w:tc>
          <w:tcPr>
            <w:tcW w:w="3018" w:type="dxa"/>
            <w:tcBorders>
              <w:top w:val="nil"/>
              <w:left w:val="single" w:sz="8" w:space="0" w:color="auto"/>
              <w:bottom w:val="nil"/>
              <w:right w:val="nil"/>
            </w:tcBorders>
            <w:tcMar>
              <w:top w:w="0" w:type="dxa"/>
              <w:left w:w="108" w:type="dxa"/>
              <w:bottom w:w="0" w:type="dxa"/>
              <w:right w:w="108" w:type="dxa"/>
            </w:tcMar>
            <w:hideMark/>
          </w:tcPr>
          <w:p w14:paraId="07786A02" w14:textId="77777777" w:rsidR="005D56BC" w:rsidRPr="005D56BC" w:rsidRDefault="005D56BC" w:rsidP="005D56BC">
            <w:pPr>
              <w:autoSpaceDE w:val="0"/>
              <w:autoSpaceDN w:val="0"/>
              <w:spacing w:after="0" w:line="240" w:lineRule="auto"/>
              <w:rPr>
                <w:rFonts w:ascii="Arial" w:eastAsia="Calibri" w:hAnsi="Arial" w:cs="Arial"/>
                <w:color w:val="000000"/>
                <w:sz w:val="20"/>
                <w:szCs w:val="20"/>
              </w:rPr>
            </w:pPr>
            <w:r w:rsidRPr="005D56BC">
              <w:rPr>
                <w:rFonts w:ascii="Arial" w:eastAsia="Calibri" w:hAnsi="Arial" w:cs="Arial"/>
                <w:color w:val="000000"/>
                <w:sz w:val="20"/>
                <w:szCs w:val="20"/>
              </w:rPr>
              <w:t>Contacts presse :</w:t>
            </w:r>
          </w:p>
        </w:tc>
        <w:tc>
          <w:tcPr>
            <w:tcW w:w="3019" w:type="dxa"/>
            <w:tcMar>
              <w:top w:w="0" w:type="dxa"/>
              <w:left w:w="108" w:type="dxa"/>
              <w:bottom w:w="0" w:type="dxa"/>
              <w:right w:w="108" w:type="dxa"/>
            </w:tcMar>
          </w:tcPr>
          <w:p w14:paraId="31878919" w14:textId="77777777" w:rsidR="005D56BC" w:rsidRPr="005D56BC" w:rsidRDefault="005D56BC" w:rsidP="005D56BC">
            <w:pPr>
              <w:autoSpaceDE w:val="0"/>
              <w:autoSpaceDN w:val="0"/>
              <w:spacing w:after="0" w:line="240" w:lineRule="auto"/>
              <w:rPr>
                <w:rFonts w:ascii="Arial" w:eastAsia="Calibri" w:hAnsi="Arial" w:cs="Arial"/>
                <w:color w:val="000000"/>
                <w:sz w:val="20"/>
                <w:szCs w:val="20"/>
              </w:rPr>
            </w:pPr>
          </w:p>
        </w:tc>
        <w:tc>
          <w:tcPr>
            <w:tcW w:w="3019" w:type="dxa"/>
            <w:tcMar>
              <w:top w:w="0" w:type="dxa"/>
              <w:left w:w="108" w:type="dxa"/>
              <w:bottom w:w="0" w:type="dxa"/>
              <w:right w:w="108" w:type="dxa"/>
            </w:tcMar>
          </w:tcPr>
          <w:p w14:paraId="37A34AAA" w14:textId="77777777" w:rsidR="005D56BC" w:rsidRPr="005D56BC" w:rsidRDefault="005D56BC" w:rsidP="005D56BC">
            <w:pPr>
              <w:autoSpaceDE w:val="0"/>
              <w:autoSpaceDN w:val="0"/>
              <w:spacing w:after="0" w:line="240" w:lineRule="auto"/>
              <w:rPr>
                <w:rFonts w:ascii="Arial" w:eastAsia="Calibri" w:hAnsi="Arial" w:cs="Arial"/>
                <w:color w:val="000000"/>
                <w:sz w:val="20"/>
                <w:szCs w:val="20"/>
              </w:rPr>
            </w:pPr>
          </w:p>
        </w:tc>
      </w:tr>
      <w:tr w:rsidR="005D56BC" w:rsidRPr="005D56BC" w14:paraId="6C520D88" w14:textId="77777777" w:rsidTr="005D56BC">
        <w:tc>
          <w:tcPr>
            <w:tcW w:w="3018" w:type="dxa"/>
            <w:tcBorders>
              <w:top w:val="nil"/>
              <w:left w:val="single" w:sz="8" w:space="0" w:color="auto"/>
              <w:bottom w:val="nil"/>
              <w:right w:val="nil"/>
            </w:tcBorders>
            <w:tcMar>
              <w:top w:w="0" w:type="dxa"/>
              <w:left w:w="108" w:type="dxa"/>
              <w:bottom w:w="0" w:type="dxa"/>
              <w:right w:w="108" w:type="dxa"/>
            </w:tcMar>
          </w:tcPr>
          <w:p w14:paraId="1BD43946" w14:textId="77777777" w:rsidR="005D56BC" w:rsidRPr="005D56BC" w:rsidRDefault="005D56BC" w:rsidP="005D56BC">
            <w:pPr>
              <w:autoSpaceDE w:val="0"/>
              <w:autoSpaceDN w:val="0"/>
              <w:spacing w:after="0" w:line="240" w:lineRule="auto"/>
              <w:rPr>
                <w:rFonts w:ascii="Arial" w:eastAsia="Calibri" w:hAnsi="Arial" w:cs="Arial"/>
                <w:b/>
                <w:bCs/>
                <w:color w:val="000000"/>
                <w:sz w:val="20"/>
                <w:szCs w:val="20"/>
              </w:rPr>
            </w:pPr>
          </w:p>
        </w:tc>
        <w:tc>
          <w:tcPr>
            <w:tcW w:w="3019" w:type="dxa"/>
            <w:tcMar>
              <w:top w:w="0" w:type="dxa"/>
              <w:left w:w="108" w:type="dxa"/>
              <w:bottom w:w="0" w:type="dxa"/>
              <w:right w:w="108" w:type="dxa"/>
            </w:tcMar>
          </w:tcPr>
          <w:p w14:paraId="37A5ED19" w14:textId="77777777" w:rsidR="005D56BC" w:rsidRPr="005D56BC" w:rsidRDefault="005D56BC" w:rsidP="005D56BC">
            <w:pPr>
              <w:autoSpaceDE w:val="0"/>
              <w:autoSpaceDN w:val="0"/>
              <w:spacing w:after="0" w:line="240" w:lineRule="auto"/>
              <w:rPr>
                <w:rFonts w:ascii="Arial" w:eastAsia="Calibri" w:hAnsi="Arial" w:cs="Arial"/>
                <w:b/>
                <w:bCs/>
                <w:color w:val="000000"/>
                <w:sz w:val="20"/>
                <w:szCs w:val="20"/>
              </w:rPr>
            </w:pPr>
          </w:p>
        </w:tc>
        <w:tc>
          <w:tcPr>
            <w:tcW w:w="3019" w:type="dxa"/>
            <w:tcMar>
              <w:top w:w="0" w:type="dxa"/>
              <w:left w:w="108" w:type="dxa"/>
              <w:bottom w:w="0" w:type="dxa"/>
              <w:right w:w="108" w:type="dxa"/>
            </w:tcMar>
          </w:tcPr>
          <w:p w14:paraId="7385BA89" w14:textId="77777777" w:rsidR="005D56BC" w:rsidRPr="005D56BC" w:rsidRDefault="005D56BC" w:rsidP="005D56BC">
            <w:pPr>
              <w:autoSpaceDE w:val="0"/>
              <w:autoSpaceDN w:val="0"/>
              <w:spacing w:after="0" w:line="240" w:lineRule="auto"/>
              <w:rPr>
                <w:rFonts w:ascii="Arial" w:eastAsia="Calibri" w:hAnsi="Arial" w:cs="Arial"/>
                <w:b/>
                <w:bCs/>
                <w:color w:val="000000"/>
                <w:sz w:val="20"/>
                <w:szCs w:val="20"/>
              </w:rPr>
            </w:pPr>
          </w:p>
        </w:tc>
      </w:tr>
      <w:tr w:rsidR="005D56BC" w:rsidRPr="005D56BC" w14:paraId="50B5C4D3" w14:textId="77777777" w:rsidTr="005D56BC">
        <w:tc>
          <w:tcPr>
            <w:tcW w:w="3018" w:type="dxa"/>
            <w:tcBorders>
              <w:top w:val="nil"/>
              <w:left w:val="single" w:sz="8" w:space="0" w:color="auto"/>
              <w:bottom w:val="nil"/>
              <w:right w:val="nil"/>
            </w:tcBorders>
            <w:tcMar>
              <w:top w:w="0" w:type="dxa"/>
              <w:left w:w="108" w:type="dxa"/>
              <w:bottom w:w="0" w:type="dxa"/>
              <w:right w:w="108" w:type="dxa"/>
            </w:tcMar>
          </w:tcPr>
          <w:p w14:paraId="5FF388C9" w14:textId="77777777" w:rsidR="005D56BC" w:rsidRPr="005D56BC" w:rsidRDefault="005D56BC" w:rsidP="005D56BC">
            <w:pPr>
              <w:autoSpaceDE w:val="0"/>
              <w:autoSpaceDN w:val="0"/>
              <w:spacing w:after="0" w:line="240" w:lineRule="auto"/>
              <w:rPr>
                <w:rFonts w:ascii="Arial" w:eastAsia="Calibri" w:hAnsi="Arial" w:cs="Arial"/>
                <w:b/>
                <w:bCs/>
                <w:color w:val="000000"/>
                <w:sz w:val="20"/>
                <w:szCs w:val="20"/>
              </w:rPr>
            </w:pPr>
            <w:r w:rsidRPr="005D56BC">
              <w:rPr>
                <w:rFonts w:ascii="Arial" w:eastAsia="Calibri" w:hAnsi="Arial" w:cs="Arial"/>
                <w:b/>
                <w:bCs/>
                <w:color w:val="000000"/>
                <w:sz w:val="20"/>
                <w:szCs w:val="20"/>
              </w:rPr>
              <w:t>Région Normandie :</w:t>
            </w:r>
          </w:p>
          <w:p w14:paraId="1CD37B16" w14:textId="77777777" w:rsidR="005D56BC" w:rsidRPr="005D56BC" w:rsidRDefault="005D56BC" w:rsidP="005D56BC">
            <w:pPr>
              <w:autoSpaceDE w:val="0"/>
              <w:autoSpaceDN w:val="0"/>
              <w:spacing w:after="0" w:line="240" w:lineRule="auto"/>
              <w:rPr>
                <w:rFonts w:ascii="Arial" w:eastAsia="Calibri" w:hAnsi="Arial" w:cs="Arial"/>
                <w:bCs/>
                <w:color w:val="000000"/>
                <w:sz w:val="20"/>
                <w:szCs w:val="20"/>
              </w:rPr>
            </w:pPr>
            <w:r w:rsidRPr="005D56BC">
              <w:rPr>
                <w:rFonts w:ascii="Arial" w:eastAsia="Calibri" w:hAnsi="Arial" w:cs="Arial"/>
                <w:bCs/>
                <w:color w:val="000000"/>
                <w:sz w:val="20"/>
                <w:szCs w:val="20"/>
              </w:rPr>
              <w:t>Charlotte Chanteloup</w:t>
            </w:r>
          </w:p>
          <w:p w14:paraId="7825BC54" w14:textId="77777777" w:rsidR="005D56BC" w:rsidRPr="005D56BC" w:rsidRDefault="005D56BC" w:rsidP="005D56BC">
            <w:pPr>
              <w:autoSpaceDE w:val="0"/>
              <w:autoSpaceDN w:val="0"/>
              <w:spacing w:after="0" w:line="240" w:lineRule="auto"/>
              <w:rPr>
                <w:rFonts w:ascii="Arial" w:eastAsia="Calibri" w:hAnsi="Arial" w:cs="Arial"/>
                <w:bCs/>
                <w:color w:val="000000"/>
                <w:sz w:val="20"/>
                <w:szCs w:val="20"/>
              </w:rPr>
            </w:pPr>
            <w:r w:rsidRPr="005D56BC">
              <w:rPr>
                <w:rFonts w:ascii="Arial" w:eastAsia="Calibri" w:hAnsi="Arial" w:cs="Arial"/>
                <w:bCs/>
                <w:color w:val="000000"/>
                <w:sz w:val="20"/>
                <w:szCs w:val="20"/>
              </w:rPr>
              <w:t>Attachée de presse</w:t>
            </w:r>
          </w:p>
          <w:p w14:paraId="5AB6CB57" w14:textId="77777777" w:rsidR="005D56BC" w:rsidRPr="005D56BC" w:rsidRDefault="005D56BC" w:rsidP="005D56BC">
            <w:pPr>
              <w:autoSpaceDE w:val="0"/>
              <w:autoSpaceDN w:val="0"/>
              <w:spacing w:after="0" w:line="240" w:lineRule="auto"/>
              <w:rPr>
                <w:rFonts w:ascii="Arial" w:eastAsia="Calibri" w:hAnsi="Arial" w:cs="Arial"/>
                <w:bCs/>
                <w:color w:val="000000"/>
                <w:sz w:val="20"/>
                <w:szCs w:val="20"/>
              </w:rPr>
            </w:pPr>
            <w:r w:rsidRPr="005D56BC">
              <w:rPr>
                <w:rFonts w:ascii="Arial" w:eastAsia="Calibri" w:hAnsi="Arial" w:cs="Arial"/>
                <w:bCs/>
                <w:color w:val="000000"/>
                <w:sz w:val="20"/>
                <w:szCs w:val="20"/>
              </w:rPr>
              <w:t>charlotte.chanteloup@normandie.fr</w:t>
            </w:r>
          </w:p>
          <w:p w14:paraId="22DE0CAD" w14:textId="31A3A6F1" w:rsidR="005D56BC" w:rsidRPr="005D56BC" w:rsidRDefault="005D56BC" w:rsidP="005D56BC">
            <w:pPr>
              <w:autoSpaceDE w:val="0"/>
              <w:autoSpaceDN w:val="0"/>
              <w:spacing w:after="0" w:line="240" w:lineRule="auto"/>
              <w:rPr>
                <w:rFonts w:ascii="Arial" w:eastAsia="Calibri" w:hAnsi="Arial" w:cs="Arial"/>
                <w:b/>
                <w:bCs/>
                <w:color w:val="000000"/>
                <w:sz w:val="20"/>
                <w:szCs w:val="20"/>
              </w:rPr>
            </w:pPr>
            <w:r w:rsidRPr="005D56BC">
              <w:rPr>
                <w:rFonts w:ascii="Arial" w:eastAsia="Calibri" w:hAnsi="Arial" w:cs="Arial"/>
                <w:bCs/>
                <w:color w:val="000000"/>
                <w:sz w:val="20"/>
                <w:szCs w:val="20"/>
              </w:rPr>
              <w:t>06 42 08 11 68</w:t>
            </w:r>
          </w:p>
        </w:tc>
        <w:tc>
          <w:tcPr>
            <w:tcW w:w="3019" w:type="dxa"/>
            <w:tcMar>
              <w:top w:w="0" w:type="dxa"/>
              <w:left w:w="108" w:type="dxa"/>
              <w:bottom w:w="0" w:type="dxa"/>
              <w:right w:w="108" w:type="dxa"/>
            </w:tcMar>
          </w:tcPr>
          <w:tbl>
            <w:tblPr>
              <w:tblW w:w="0" w:type="auto"/>
              <w:tblCellMar>
                <w:left w:w="0" w:type="dxa"/>
                <w:right w:w="0" w:type="dxa"/>
              </w:tblCellMar>
              <w:tblLook w:val="04A0" w:firstRow="1" w:lastRow="0" w:firstColumn="1" w:lastColumn="0" w:noHBand="0" w:noVBand="1"/>
            </w:tblPr>
            <w:tblGrid>
              <w:gridCol w:w="2966"/>
            </w:tblGrid>
            <w:tr w:rsidR="005D56BC" w:rsidRPr="005D56BC" w14:paraId="43700398" w14:textId="77777777" w:rsidTr="00AD1731">
              <w:tc>
                <w:tcPr>
                  <w:tcW w:w="3019" w:type="dxa"/>
                  <w:tcMar>
                    <w:top w:w="0" w:type="dxa"/>
                    <w:left w:w="108" w:type="dxa"/>
                    <w:bottom w:w="0" w:type="dxa"/>
                    <w:right w:w="108" w:type="dxa"/>
                  </w:tcMar>
                </w:tcPr>
                <w:p w14:paraId="28770305" w14:textId="77777777" w:rsidR="005D56BC" w:rsidRDefault="005D56BC" w:rsidP="005D56BC">
                  <w:pPr>
                    <w:autoSpaceDE w:val="0"/>
                    <w:autoSpaceDN w:val="0"/>
                    <w:spacing w:after="0" w:line="240" w:lineRule="auto"/>
                    <w:rPr>
                      <w:rFonts w:ascii="Arial" w:eastAsia="Calibri" w:hAnsi="Arial" w:cs="Arial"/>
                      <w:b/>
                      <w:bCs/>
                      <w:color w:val="000000"/>
                      <w:sz w:val="20"/>
                      <w:szCs w:val="20"/>
                    </w:rPr>
                  </w:pPr>
                  <w:r w:rsidRPr="005D56BC">
                    <w:rPr>
                      <w:rFonts w:ascii="Arial" w:eastAsia="Calibri" w:hAnsi="Arial" w:cs="Arial"/>
                      <w:b/>
                      <w:bCs/>
                      <w:color w:val="000000"/>
                      <w:sz w:val="20"/>
                      <w:szCs w:val="20"/>
                    </w:rPr>
                    <w:t xml:space="preserve">ADEME : </w:t>
                  </w:r>
                </w:p>
                <w:p w14:paraId="78BBAAF5" w14:textId="77777777" w:rsidR="005D56BC" w:rsidRPr="005D56BC" w:rsidRDefault="005D56BC" w:rsidP="005D56BC">
                  <w:pPr>
                    <w:autoSpaceDE w:val="0"/>
                    <w:autoSpaceDN w:val="0"/>
                    <w:spacing w:after="0" w:line="240" w:lineRule="auto"/>
                    <w:rPr>
                      <w:rFonts w:ascii="Arial" w:eastAsia="Calibri" w:hAnsi="Arial" w:cs="Arial"/>
                      <w:bCs/>
                      <w:color w:val="000000"/>
                      <w:sz w:val="20"/>
                      <w:szCs w:val="20"/>
                    </w:rPr>
                  </w:pPr>
                  <w:r w:rsidRPr="005D56BC">
                    <w:rPr>
                      <w:rFonts w:ascii="Arial" w:eastAsia="Calibri" w:hAnsi="Arial" w:cs="Arial"/>
                      <w:bCs/>
                      <w:color w:val="000000"/>
                      <w:sz w:val="20"/>
                      <w:szCs w:val="20"/>
                    </w:rPr>
                    <w:t>Eric Talbot</w:t>
                  </w:r>
                </w:p>
                <w:p w14:paraId="529A7888" w14:textId="77777777" w:rsidR="005D56BC" w:rsidRPr="005D56BC" w:rsidRDefault="005D56BC" w:rsidP="005D56BC">
                  <w:pPr>
                    <w:autoSpaceDE w:val="0"/>
                    <w:autoSpaceDN w:val="0"/>
                    <w:spacing w:after="0" w:line="240" w:lineRule="auto"/>
                    <w:rPr>
                      <w:rFonts w:ascii="Arial" w:eastAsia="Calibri" w:hAnsi="Arial" w:cs="Arial"/>
                      <w:bCs/>
                      <w:color w:val="000000"/>
                      <w:sz w:val="20"/>
                      <w:szCs w:val="20"/>
                    </w:rPr>
                  </w:pPr>
                  <w:r w:rsidRPr="005D56BC">
                    <w:rPr>
                      <w:rFonts w:ascii="Arial" w:eastAsia="Calibri" w:hAnsi="Arial" w:cs="Arial"/>
                      <w:bCs/>
                      <w:color w:val="000000"/>
                      <w:sz w:val="20"/>
                      <w:szCs w:val="20"/>
                    </w:rPr>
                    <w:t>Attaché de presse</w:t>
                  </w:r>
                </w:p>
                <w:p w14:paraId="0B0ED93E" w14:textId="77777777" w:rsidR="005D56BC" w:rsidRPr="005D56BC" w:rsidRDefault="005D56BC" w:rsidP="005D56BC">
                  <w:pPr>
                    <w:autoSpaceDE w:val="0"/>
                    <w:autoSpaceDN w:val="0"/>
                    <w:spacing w:after="0" w:line="240" w:lineRule="auto"/>
                    <w:rPr>
                      <w:rFonts w:ascii="Arial" w:eastAsia="Calibri" w:hAnsi="Arial" w:cs="Arial"/>
                      <w:bCs/>
                      <w:color w:val="000000"/>
                      <w:sz w:val="20"/>
                      <w:szCs w:val="20"/>
                    </w:rPr>
                  </w:pPr>
                  <w:r w:rsidRPr="005D56BC">
                    <w:rPr>
                      <w:rFonts w:ascii="Arial" w:eastAsia="Calibri" w:hAnsi="Arial" w:cs="Arial"/>
                      <w:bCs/>
                      <w:color w:val="000000"/>
                      <w:sz w:val="20"/>
                      <w:szCs w:val="20"/>
                    </w:rPr>
                    <w:t>talbotattachepresse@orange.fr</w:t>
                  </w:r>
                </w:p>
                <w:p w14:paraId="53B0DF36" w14:textId="77777777" w:rsidR="005D56BC" w:rsidRPr="005D56BC" w:rsidRDefault="005D56BC" w:rsidP="005D56BC">
                  <w:pPr>
                    <w:autoSpaceDE w:val="0"/>
                    <w:autoSpaceDN w:val="0"/>
                    <w:spacing w:after="0" w:line="240" w:lineRule="auto"/>
                    <w:rPr>
                      <w:rFonts w:ascii="Arial" w:eastAsia="Calibri" w:hAnsi="Arial" w:cs="Arial"/>
                      <w:b/>
                      <w:bCs/>
                      <w:color w:val="000000"/>
                      <w:sz w:val="20"/>
                      <w:szCs w:val="20"/>
                    </w:rPr>
                  </w:pPr>
                  <w:r w:rsidRPr="005D56BC">
                    <w:rPr>
                      <w:rFonts w:ascii="Arial" w:eastAsia="Calibri" w:hAnsi="Arial" w:cs="Arial"/>
                      <w:bCs/>
                      <w:color w:val="000000"/>
                      <w:sz w:val="20"/>
                      <w:szCs w:val="20"/>
                    </w:rPr>
                    <w:t>06 07 45 90 37</w:t>
                  </w:r>
                </w:p>
              </w:tc>
            </w:tr>
          </w:tbl>
          <w:p w14:paraId="3B98FC79" w14:textId="11BDB92D" w:rsidR="005D56BC" w:rsidRPr="005D56BC" w:rsidRDefault="005D56BC" w:rsidP="005D56BC">
            <w:pPr>
              <w:autoSpaceDE w:val="0"/>
              <w:autoSpaceDN w:val="0"/>
              <w:spacing w:after="0" w:line="240" w:lineRule="auto"/>
              <w:rPr>
                <w:rFonts w:ascii="Arial" w:eastAsia="Calibri" w:hAnsi="Arial" w:cs="Arial"/>
                <w:b/>
                <w:bCs/>
                <w:color w:val="000000"/>
                <w:sz w:val="20"/>
                <w:szCs w:val="20"/>
              </w:rPr>
            </w:pPr>
          </w:p>
        </w:tc>
        <w:tc>
          <w:tcPr>
            <w:tcW w:w="3019" w:type="dxa"/>
            <w:tcMar>
              <w:top w:w="0" w:type="dxa"/>
              <w:left w:w="108" w:type="dxa"/>
              <w:bottom w:w="0" w:type="dxa"/>
              <w:right w:w="108" w:type="dxa"/>
            </w:tcMar>
          </w:tcPr>
          <w:p w14:paraId="771A8D90" w14:textId="51FD2023" w:rsidR="005D56BC" w:rsidRPr="005D56BC" w:rsidRDefault="005D56BC" w:rsidP="005D56BC">
            <w:pPr>
              <w:autoSpaceDE w:val="0"/>
              <w:autoSpaceDN w:val="0"/>
              <w:spacing w:after="0" w:line="240" w:lineRule="auto"/>
              <w:rPr>
                <w:rFonts w:ascii="Arial" w:eastAsia="Calibri" w:hAnsi="Arial" w:cs="Arial"/>
                <w:b/>
                <w:bCs/>
                <w:color w:val="000000"/>
                <w:sz w:val="20"/>
                <w:szCs w:val="20"/>
              </w:rPr>
            </w:pPr>
          </w:p>
        </w:tc>
      </w:tr>
      <w:tr w:rsidR="005D56BC" w:rsidRPr="005D56BC" w14:paraId="708D5834" w14:textId="77777777" w:rsidTr="005D56BC">
        <w:tc>
          <w:tcPr>
            <w:tcW w:w="3018" w:type="dxa"/>
            <w:tcBorders>
              <w:top w:val="nil"/>
              <w:left w:val="single" w:sz="8" w:space="0" w:color="auto"/>
              <w:bottom w:val="nil"/>
              <w:right w:val="nil"/>
            </w:tcBorders>
            <w:tcMar>
              <w:top w:w="0" w:type="dxa"/>
              <w:left w:w="108" w:type="dxa"/>
              <w:bottom w:w="0" w:type="dxa"/>
              <w:right w:w="108" w:type="dxa"/>
            </w:tcMar>
          </w:tcPr>
          <w:p w14:paraId="7F5BECDC" w14:textId="02D81F83" w:rsidR="005D56BC" w:rsidRPr="005D56BC" w:rsidRDefault="005D56BC" w:rsidP="005D56BC">
            <w:pPr>
              <w:autoSpaceDE w:val="0"/>
              <w:autoSpaceDN w:val="0"/>
              <w:spacing w:after="0" w:line="240" w:lineRule="auto"/>
              <w:rPr>
                <w:rFonts w:ascii="Arial" w:eastAsia="Calibri" w:hAnsi="Arial" w:cs="Arial"/>
                <w:b/>
                <w:bCs/>
                <w:color w:val="000000"/>
                <w:sz w:val="20"/>
                <w:szCs w:val="20"/>
              </w:rPr>
            </w:pPr>
          </w:p>
        </w:tc>
        <w:tc>
          <w:tcPr>
            <w:tcW w:w="3019" w:type="dxa"/>
            <w:tcMar>
              <w:top w:w="0" w:type="dxa"/>
              <w:left w:w="108" w:type="dxa"/>
              <w:bottom w:w="0" w:type="dxa"/>
              <w:right w:w="108" w:type="dxa"/>
            </w:tcMar>
          </w:tcPr>
          <w:p w14:paraId="33EA5AB5" w14:textId="3675A3AD" w:rsidR="005D56BC" w:rsidRPr="005D56BC" w:rsidRDefault="005D56BC" w:rsidP="005D56BC">
            <w:pPr>
              <w:autoSpaceDE w:val="0"/>
              <w:autoSpaceDN w:val="0"/>
              <w:spacing w:after="0" w:line="240" w:lineRule="auto"/>
              <w:rPr>
                <w:rFonts w:ascii="Arial" w:eastAsia="Calibri" w:hAnsi="Arial" w:cs="Arial"/>
                <w:b/>
                <w:bCs/>
                <w:color w:val="000000"/>
                <w:sz w:val="20"/>
                <w:szCs w:val="20"/>
              </w:rPr>
            </w:pPr>
          </w:p>
        </w:tc>
        <w:tc>
          <w:tcPr>
            <w:tcW w:w="3019" w:type="dxa"/>
            <w:tcMar>
              <w:top w:w="0" w:type="dxa"/>
              <w:left w:w="108" w:type="dxa"/>
              <w:bottom w:w="0" w:type="dxa"/>
              <w:right w:w="108" w:type="dxa"/>
            </w:tcMar>
          </w:tcPr>
          <w:p w14:paraId="5DF08E3B" w14:textId="7CD23CE4" w:rsidR="005D56BC" w:rsidRPr="005D56BC" w:rsidRDefault="005D56BC" w:rsidP="005D56BC">
            <w:pPr>
              <w:autoSpaceDE w:val="0"/>
              <w:autoSpaceDN w:val="0"/>
              <w:spacing w:after="0" w:line="240" w:lineRule="auto"/>
              <w:rPr>
                <w:rFonts w:ascii="Arial" w:eastAsia="Calibri" w:hAnsi="Arial" w:cs="Arial"/>
                <w:b/>
                <w:bCs/>
                <w:color w:val="000000"/>
                <w:sz w:val="20"/>
                <w:szCs w:val="20"/>
              </w:rPr>
            </w:pPr>
          </w:p>
        </w:tc>
      </w:tr>
    </w:tbl>
    <w:p w14:paraId="0D9436EA" w14:textId="77777777" w:rsidR="005D56BC" w:rsidRDefault="005D56BC" w:rsidP="002B5D3F">
      <w:pPr>
        <w:spacing w:after="0" w:line="240" w:lineRule="auto"/>
        <w:jc w:val="both"/>
        <w:rPr>
          <w:rFonts w:ascii="Arial" w:hAnsi="Arial" w:cs="Arial"/>
          <w:szCs w:val="26"/>
        </w:rPr>
      </w:pPr>
    </w:p>
    <w:sectPr w:rsidR="005D56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8B1056"/>
    <w:multiLevelType w:val="hybridMultilevel"/>
    <w:tmpl w:val="7C0C439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2D13384"/>
    <w:multiLevelType w:val="hybridMultilevel"/>
    <w:tmpl w:val="4BB4A5F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850"/>
    <w:rsid w:val="000846C6"/>
    <w:rsid w:val="00084CD3"/>
    <w:rsid w:val="000B7100"/>
    <w:rsid w:val="00171ED8"/>
    <w:rsid w:val="001D2242"/>
    <w:rsid w:val="002B5D3F"/>
    <w:rsid w:val="00382DFD"/>
    <w:rsid w:val="00510C1A"/>
    <w:rsid w:val="00513123"/>
    <w:rsid w:val="005A782C"/>
    <w:rsid w:val="005D56BC"/>
    <w:rsid w:val="006157B4"/>
    <w:rsid w:val="006A359B"/>
    <w:rsid w:val="00713B0A"/>
    <w:rsid w:val="00750D78"/>
    <w:rsid w:val="00791EAE"/>
    <w:rsid w:val="00830ED0"/>
    <w:rsid w:val="00855D88"/>
    <w:rsid w:val="009B1850"/>
    <w:rsid w:val="00A23B39"/>
    <w:rsid w:val="00A2515E"/>
    <w:rsid w:val="00A27716"/>
    <w:rsid w:val="00A76213"/>
    <w:rsid w:val="00AB7ADB"/>
    <w:rsid w:val="00B035FD"/>
    <w:rsid w:val="00B504E8"/>
    <w:rsid w:val="00C461BA"/>
    <w:rsid w:val="00C653EF"/>
    <w:rsid w:val="00C90778"/>
    <w:rsid w:val="00CD5E3B"/>
    <w:rsid w:val="00D37846"/>
    <w:rsid w:val="00D657D0"/>
    <w:rsid w:val="00EC1D10"/>
    <w:rsid w:val="00F36A5E"/>
    <w:rsid w:val="00FA194A"/>
    <w:rsid w:val="00FC74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877F5"/>
  <w15:chartTrackingRefBased/>
  <w15:docId w15:val="{B056F4B5-BD8D-4CB9-B1FB-5B81CCA18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10C1A"/>
    <w:rPr>
      <w:color w:val="0563C1" w:themeColor="hyperlink"/>
      <w:u w:val="single"/>
    </w:rPr>
  </w:style>
  <w:style w:type="character" w:styleId="Mentionnonrsolue">
    <w:name w:val="Unresolved Mention"/>
    <w:basedOn w:val="Policepardfaut"/>
    <w:uiPriority w:val="99"/>
    <w:semiHidden/>
    <w:unhideWhenUsed/>
    <w:rsid w:val="00510C1A"/>
    <w:rPr>
      <w:color w:val="605E5C"/>
      <w:shd w:val="clear" w:color="auto" w:fill="E1DFDD"/>
    </w:rPr>
  </w:style>
  <w:style w:type="paragraph" w:styleId="Paragraphedeliste">
    <w:name w:val="List Paragraph"/>
    <w:basedOn w:val="Normal"/>
    <w:uiPriority w:val="34"/>
    <w:qFormat/>
    <w:rsid w:val="00B504E8"/>
    <w:pPr>
      <w:ind w:left="720"/>
      <w:contextualSpacing/>
    </w:pPr>
  </w:style>
  <w:style w:type="table" w:styleId="Grilledutableau">
    <w:name w:val="Table Grid"/>
    <w:basedOn w:val="TableauNormal"/>
    <w:uiPriority w:val="39"/>
    <w:rsid w:val="00FC7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16758">
      <w:bodyDiv w:val="1"/>
      <w:marLeft w:val="0"/>
      <w:marRight w:val="0"/>
      <w:marTop w:val="0"/>
      <w:marBottom w:val="0"/>
      <w:divBdr>
        <w:top w:val="none" w:sz="0" w:space="0" w:color="auto"/>
        <w:left w:val="none" w:sz="0" w:space="0" w:color="auto"/>
        <w:bottom w:val="none" w:sz="0" w:space="0" w:color="auto"/>
        <w:right w:val="none" w:sz="0" w:space="0" w:color="auto"/>
      </w:divBdr>
    </w:div>
    <w:div w:id="93258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hyperlink" Target="https://rencontresmethanisationnormandie.marcom-ace.com/page/accueil"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cid:image002.png@01D70B8F.2E5D6320" TargetMode="External"/><Relationship Id="rId14" Type="http://schemas.openxmlformats.org/officeDocument/2006/relationships/image" Target="media/image9.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4</Pages>
  <Words>1192</Words>
  <Characters>6557</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18</cp:revision>
  <dcterms:created xsi:type="dcterms:W3CDTF">2021-03-04T13:53:00Z</dcterms:created>
  <dcterms:modified xsi:type="dcterms:W3CDTF">2021-03-10T13:59:00Z</dcterms:modified>
</cp:coreProperties>
</file>