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F02" w:rsidRDefault="0035619B">
      <w:r>
        <w:rPr>
          <w:noProof/>
          <w:lang w:eastAsia="fr-FR"/>
        </w:rPr>
        <w:drawing>
          <wp:inline distT="0" distB="0" distL="0" distR="0" wp14:anchorId="286CBE9A">
            <wp:extent cx="5761355" cy="5486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548640"/>
                    </a:xfrm>
                    <a:prstGeom prst="rect">
                      <a:avLst/>
                    </a:prstGeom>
                    <a:noFill/>
                  </pic:spPr>
                </pic:pic>
              </a:graphicData>
            </a:graphic>
          </wp:inline>
        </w:drawing>
      </w:r>
    </w:p>
    <w:tbl>
      <w:tblPr>
        <w:tblW w:w="8999" w:type="dxa"/>
        <w:tblLayout w:type="fixed"/>
        <w:tblCellMar>
          <w:left w:w="0" w:type="dxa"/>
          <w:right w:w="0" w:type="dxa"/>
        </w:tblCellMar>
        <w:tblLook w:val="04A0" w:firstRow="1" w:lastRow="0" w:firstColumn="1" w:lastColumn="0" w:noHBand="0" w:noVBand="1"/>
      </w:tblPr>
      <w:tblGrid>
        <w:gridCol w:w="1821"/>
        <w:gridCol w:w="3790"/>
        <w:gridCol w:w="3388"/>
      </w:tblGrid>
      <w:tr w:rsidR="0035619B" w:rsidRPr="0035619B" w:rsidTr="00F95C50">
        <w:tc>
          <w:tcPr>
            <w:tcW w:w="1821" w:type="dxa"/>
            <w:tcMar>
              <w:top w:w="0" w:type="dxa"/>
              <w:left w:w="108" w:type="dxa"/>
              <w:bottom w:w="0" w:type="dxa"/>
              <w:right w:w="108" w:type="dxa"/>
            </w:tcMar>
            <w:vAlign w:val="center"/>
            <w:hideMark/>
          </w:tcPr>
          <w:p w:rsidR="0035619B" w:rsidRPr="0035619B" w:rsidRDefault="0035619B" w:rsidP="0035619B">
            <w:pPr>
              <w:spacing w:after="200" w:line="276" w:lineRule="auto"/>
              <w:jc w:val="center"/>
              <w:rPr>
                <w:rFonts w:ascii="Arial" w:hAnsi="Arial" w:cs="Arial"/>
              </w:rPr>
            </w:pPr>
            <w:r w:rsidRPr="0035619B">
              <w:rPr>
                <w:rFonts w:ascii="Arial" w:hAnsi="Arial" w:cs="Arial"/>
                <w:noProof/>
                <w:lang w:eastAsia="fr-FR"/>
              </w:rPr>
              <w:drawing>
                <wp:inline distT="0" distB="0" distL="0" distR="0" wp14:anchorId="5AC411F1" wp14:editId="2EF13493">
                  <wp:extent cx="1019175" cy="966093"/>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3036" cy="969753"/>
                          </a:xfrm>
                          <a:prstGeom prst="rect">
                            <a:avLst/>
                          </a:prstGeom>
                          <a:noFill/>
                        </pic:spPr>
                      </pic:pic>
                    </a:graphicData>
                  </a:graphic>
                </wp:inline>
              </w:drawing>
            </w:r>
          </w:p>
        </w:tc>
        <w:tc>
          <w:tcPr>
            <w:tcW w:w="3790" w:type="dxa"/>
            <w:tcMar>
              <w:top w:w="0" w:type="dxa"/>
              <w:left w:w="108" w:type="dxa"/>
              <w:bottom w:w="0" w:type="dxa"/>
              <w:right w:w="108" w:type="dxa"/>
            </w:tcMar>
            <w:vAlign w:val="center"/>
            <w:hideMark/>
          </w:tcPr>
          <w:p w:rsidR="0035619B" w:rsidRPr="0035619B" w:rsidRDefault="0035619B" w:rsidP="0035619B">
            <w:pPr>
              <w:spacing w:after="200" w:line="276" w:lineRule="auto"/>
              <w:jc w:val="center"/>
              <w:rPr>
                <w:rFonts w:ascii="Arial" w:hAnsi="Arial" w:cs="Arial"/>
              </w:rPr>
            </w:pPr>
            <w:r w:rsidRPr="0035619B">
              <w:rPr>
                <w:rFonts w:ascii="Calibri" w:hAnsi="Calibri" w:cs="Calibri"/>
                <w:noProof/>
                <w:lang w:eastAsia="fr-FR"/>
              </w:rPr>
              <w:drawing>
                <wp:inline distT="0" distB="0" distL="0" distR="0" wp14:anchorId="767AC610" wp14:editId="5F0D4BC5">
                  <wp:extent cx="2158409" cy="858505"/>
                  <wp:effectExtent l="0" t="0" r="0" b="0"/>
                  <wp:docPr id="1" name="Image 1" descr="Datalab 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lab Normand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1657" cy="871730"/>
                          </a:xfrm>
                          <a:prstGeom prst="rect">
                            <a:avLst/>
                          </a:prstGeom>
                          <a:noFill/>
                          <a:ln>
                            <a:noFill/>
                          </a:ln>
                        </pic:spPr>
                      </pic:pic>
                    </a:graphicData>
                  </a:graphic>
                </wp:inline>
              </w:drawing>
            </w:r>
          </w:p>
        </w:tc>
        <w:tc>
          <w:tcPr>
            <w:tcW w:w="3388" w:type="dxa"/>
            <w:vAlign w:val="center"/>
            <w:hideMark/>
          </w:tcPr>
          <w:p w:rsidR="0035619B" w:rsidRPr="0035619B" w:rsidRDefault="0035619B" w:rsidP="0035619B">
            <w:pPr>
              <w:spacing w:after="200" w:line="276" w:lineRule="auto"/>
              <w:jc w:val="center"/>
              <w:rPr>
                <w:rFonts w:ascii="Arial" w:hAnsi="Arial" w:cs="Arial"/>
                <w:lang w:eastAsia="fr-FR"/>
              </w:rPr>
            </w:pPr>
            <w:r w:rsidRPr="0035619B">
              <w:rPr>
                <w:rFonts w:ascii="Arial" w:hAnsi="Arial" w:cs="Arial"/>
                <w:noProof/>
                <w:lang w:eastAsia="fr-FR"/>
              </w:rPr>
              <w:drawing>
                <wp:inline distT="0" distB="0" distL="0" distR="0" wp14:anchorId="1C20BD6E" wp14:editId="2F0FD7EA">
                  <wp:extent cx="2478405" cy="90473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078" b="13847"/>
                          <a:stretch/>
                        </pic:blipFill>
                        <pic:spPr bwMode="auto">
                          <a:xfrm>
                            <a:off x="0" y="0"/>
                            <a:ext cx="2528976" cy="9231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7C47" w:rsidRDefault="008D7C47" w:rsidP="008D7C47">
      <w:pPr>
        <w:spacing w:after="0" w:line="240" w:lineRule="auto"/>
        <w:jc w:val="right"/>
        <w:rPr>
          <w:rFonts w:ascii="Arial" w:hAnsi="Arial" w:cs="Arial"/>
        </w:rPr>
      </w:pPr>
    </w:p>
    <w:p w:rsidR="00F024CD" w:rsidRDefault="0035619B" w:rsidP="00F024CD">
      <w:pPr>
        <w:jc w:val="right"/>
        <w:rPr>
          <w:rFonts w:ascii="Arial" w:hAnsi="Arial" w:cs="Arial"/>
        </w:rPr>
      </w:pPr>
      <w:r w:rsidRPr="0035619B">
        <w:rPr>
          <w:rFonts w:ascii="Arial" w:hAnsi="Arial" w:cs="Arial"/>
        </w:rPr>
        <w:t>Le 29 janvier 2021</w:t>
      </w:r>
    </w:p>
    <w:p w:rsidR="00F024CD" w:rsidRDefault="00F024CD" w:rsidP="00590C66">
      <w:pPr>
        <w:spacing w:after="0" w:line="240" w:lineRule="auto"/>
        <w:rPr>
          <w:rFonts w:ascii="Arial" w:hAnsi="Arial" w:cs="Arial"/>
        </w:rPr>
      </w:pPr>
    </w:p>
    <w:p w:rsidR="00590C66" w:rsidRPr="003E216A" w:rsidRDefault="003E216A" w:rsidP="00590C66">
      <w:pPr>
        <w:jc w:val="both"/>
        <w:rPr>
          <w:rFonts w:ascii="Arial" w:hAnsi="Arial" w:cs="Arial"/>
          <w:b/>
          <w:bCs/>
          <w:sz w:val="28"/>
          <w:szCs w:val="28"/>
        </w:rPr>
      </w:pPr>
      <w:r w:rsidRPr="003E216A">
        <w:rPr>
          <w:rFonts w:ascii="Arial" w:hAnsi="Arial" w:cs="Arial"/>
          <w:b/>
          <w:sz w:val="28"/>
          <w:szCs w:val="28"/>
        </w:rPr>
        <w:t xml:space="preserve">Le </w:t>
      </w:r>
      <w:proofErr w:type="spellStart"/>
      <w:r w:rsidRPr="003E216A">
        <w:rPr>
          <w:rFonts w:ascii="Arial" w:hAnsi="Arial" w:cs="Arial"/>
          <w:b/>
          <w:sz w:val="28"/>
          <w:szCs w:val="28"/>
        </w:rPr>
        <w:t>DataLab</w:t>
      </w:r>
      <w:proofErr w:type="spellEnd"/>
      <w:r w:rsidRPr="003E216A">
        <w:rPr>
          <w:rFonts w:ascii="Arial" w:hAnsi="Arial" w:cs="Arial"/>
          <w:b/>
          <w:sz w:val="28"/>
          <w:szCs w:val="28"/>
        </w:rPr>
        <w:t xml:space="preserve"> Normandie se rapproche du </w:t>
      </w:r>
      <w:proofErr w:type="spellStart"/>
      <w:r w:rsidRPr="003E216A">
        <w:rPr>
          <w:rFonts w:ascii="Arial" w:hAnsi="Arial" w:cs="Arial"/>
          <w:b/>
          <w:sz w:val="28"/>
          <w:szCs w:val="28"/>
        </w:rPr>
        <w:t>Health</w:t>
      </w:r>
      <w:proofErr w:type="spellEnd"/>
      <w:r w:rsidRPr="003E216A">
        <w:rPr>
          <w:rFonts w:ascii="Arial" w:hAnsi="Arial" w:cs="Arial"/>
          <w:b/>
          <w:sz w:val="28"/>
          <w:szCs w:val="28"/>
        </w:rPr>
        <w:t xml:space="preserve"> Data Hub, pl</w:t>
      </w:r>
      <w:r>
        <w:rPr>
          <w:rFonts w:ascii="Arial" w:hAnsi="Arial" w:cs="Arial"/>
          <w:b/>
          <w:sz w:val="28"/>
          <w:szCs w:val="28"/>
        </w:rPr>
        <w:t>ateforme de</w:t>
      </w:r>
      <w:r w:rsidRPr="003E216A">
        <w:rPr>
          <w:rFonts w:ascii="Arial" w:hAnsi="Arial" w:cs="Arial"/>
          <w:b/>
          <w:sz w:val="28"/>
          <w:szCs w:val="28"/>
        </w:rPr>
        <w:t xml:space="preserve"> données de santé</w:t>
      </w:r>
      <w:r w:rsidRPr="003E216A">
        <w:rPr>
          <w:rFonts w:ascii="Arial" w:hAnsi="Arial" w:cs="Arial"/>
          <w:b/>
          <w:sz w:val="28"/>
          <w:szCs w:val="28"/>
        </w:rPr>
        <w:t xml:space="preserve">, </w:t>
      </w:r>
      <w:r w:rsidR="00590C66" w:rsidRPr="003E216A">
        <w:rPr>
          <w:rFonts w:ascii="Arial" w:hAnsi="Arial" w:cs="Arial"/>
          <w:b/>
          <w:bCs/>
          <w:sz w:val="28"/>
          <w:szCs w:val="28"/>
        </w:rPr>
        <w:t xml:space="preserve">pour favoriser l’émergence de projets innovants </w:t>
      </w:r>
      <w:bookmarkStart w:id="0" w:name="_GoBack"/>
      <w:bookmarkEnd w:id="0"/>
    </w:p>
    <w:p w:rsidR="00590C66" w:rsidRDefault="00590C66" w:rsidP="00590C66">
      <w:pPr>
        <w:spacing w:after="0" w:line="240" w:lineRule="auto"/>
        <w:jc w:val="both"/>
        <w:rPr>
          <w:rFonts w:ascii="Arial" w:hAnsi="Arial" w:cs="Arial"/>
          <w:b/>
          <w:bCs/>
        </w:rPr>
      </w:pPr>
      <w:r>
        <w:rPr>
          <w:rFonts w:ascii="Arial" w:hAnsi="Arial" w:cs="Arial"/>
          <w:b/>
          <w:bCs/>
        </w:rPr>
        <w:t xml:space="preserve">Depuis le siège du Conseil régional à Rouen, Françoise </w:t>
      </w:r>
      <w:proofErr w:type="spellStart"/>
      <w:r>
        <w:rPr>
          <w:rFonts w:ascii="Arial" w:hAnsi="Arial" w:cs="Arial"/>
          <w:b/>
          <w:bCs/>
        </w:rPr>
        <w:t>Guégot</w:t>
      </w:r>
      <w:proofErr w:type="spellEnd"/>
      <w:r>
        <w:rPr>
          <w:rFonts w:ascii="Arial" w:hAnsi="Arial" w:cs="Arial"/>
          <w:b/>
          <w:bCs/>
        </w:rPr>
        <w:t xml:space="preserve">, Vice-Présidente de la Région Normandie, en charge de l’enseignement supérieur, de la recherche, de l’innovation et du développement numérique, a présenté, cet après-midi,  le partenariat entre le </w:t>
      </w:r>
      <w:proofErr w:type="spellStart"/>
      <w:r>
        <w:rPr>
          <w:rFonts w:ascii="Arial" w:hAnsi="Arial" w:cs="Arial"/>
          <w:b/>
          <w:bCs/>
        </w:rPr>
        <w:t>DataLab</w:t>
      </w:r>
      <w:proofErr w:type="spellEnd"/>
      <w:r>
        <w:rPr>
          <w:rFonts w:ascii="Arial" w:hAnsi="Arial" w:cs="Arial"/>
          <w:b/>
          <w:bCs/>
        </w:rPr>
        <w:t xml:space="preserve"> Normandie et le </w:t>
      </w:r>
      <w:proofErr w:type="spellStart"/>
      <w:r>
        <w:rPr>
          <w:rFonts w:ascii="Arial" w:hAnsi="Arial" w:cs="Arial"/>
          <w:b/>
          <w:bCs/>
        </w:rPr>
        <w:t>Health</w:t>
      </w:r>
      <w:proofErr w:type="spellEnd"/>
      <w:r>
        <w:rPr>
          <w:rFonts w:ascii="Arial" w:hAnsi="Arial" w:cs="Arial"/>
          <w:b/>
          <w:bCs/>
        </w:rPr>
        <w:t xml:space="preserve"> Data Hub, à près de 90 acteurs normands de la santé, connectés en visioconférence à l’occasion d’un séminaire de lancement. Initiative unique entre une Région et un Hub national</w:t>
      </w:r>
      <w:r>
        <w:t xml:space="preserve">, </w:t>
      </w:r>
      <w:r>
        <w:rPr>
          <w:rFonts w:ascii="Arial" w:hAnsi="Arial" w:cs="Arial"/>
          <w:b/>
          <w:bCs/>
        </w:rPr>
        <w:t xml:space="preserve">ce partenariat doit favoriser la mise en œuvre de projets collectifs qui concourent à l’amélioration des soins. Dans cet objectif, un appel à projets, avec une enveloppe dédiée de 2 millions d’euros de fonds « FEDER numérique », est lancé par la Région Normandie. </w:t>
      </w:r>
    </w:p>
    <w:p w:rsidR="00590C66" w:rsidRDefault="00590C66" w:rsidP="00590C66">
      <w:pPr>
        <w:spacing w:after="0" w:line="240" w:lineRule="auto"/>
        <w:jc w:val="both"/>
        <w:rPr>
          <w:rFonts w:ascii="Arial" w:hAnsi="Arial" w:cs="Arial"/>
          <w:b/>
          <w:bCs/>
          <w:i/>
          <w:iCs/>
          <w:sz w:val="26"/>
          <w:szCs w:val="26"/>
        </w:rPr>
      </w:pPr>
    </w:p>
    <w:p w:rsidR="00590C66" w:rsidRDefault="00590C66" w:rsidP="00590C66">
      <w:pPr>
        <w:pStyle w:val="Default"/>
        <w:spacing w:after="120"/>
        <w:jc w:val="both"/>
        <w:rPr>
          <w:b/>
          <w:bCs/>
          <w:color w:val="auto"/>
          <w:sz w:val="26"/>
          <w:szCs w:val="26"/>
        </w:rPr>
      </w:pPr>
      <w:r>
        <w:rPr>
          <w:b/>
          <w:bCs/>
          <w:color w:val="auto"/>
          <w:sz w:val="26"/>
          <w:szCs w:val="26"/>
        </w:rPr>
        <w:t>Saisir les opportunités offertes par les données numériques pour améliorer la qualité des soins</w:t>
      </w:r>
    </w:p>
    <w:p w:rsidR="00590C66" w:rsidRDefault="00590C66" w:rsidP="00590C66">
      <w:pPr>
        <w:pStyle w:val="Default"/>
        <w:jc w:val="both"/>
        <w:rPr>
          <w:sz w:val="22"/>
          <w:szCs w:val="22"/>
        </w:rPr>
      </w:pPr>
      <w:r>
        <w:rPr>
          <w:i/>
          <w:iCs/>
          <w:sz w:val="22"/>
          <w:szCs w:val="22"/>
        </w:rPr>
        <w:t>« La crise sanitaire liée à la pandémie de COVID-19</w:t>
      </w:r>
      <w:r>
        <w:rPr>
          <w:i/>
          <w:iCs/>
        </w:rPr>
        <w:t xml:space="preserve"> </w:t>
      </w:r>
      <w:r>
        <w:rPr>
          <w:i/>
          <w:iCs/>
          <w:sz w:val="22"/>
          <w:szCs w:val="22"/>
        </w:rPr>
        <w:t xml:space="preserve">a révélé l’importance de l’utilisation et du développement de nouveaux outils numériques dans le domaine de la santé. Plus particulièrement, la digitalisation des services a permis d’assurer la continuité d’un bon nombre d’activités. Cette crise a également mis en exergue des besoins qui n’avaient pas été identifiés auparavant. Un exemple probant est la </w:t>
      </w:r>
      <w:r w:rsidRPr="00590C66">
        <w:rPr>
          <w:i/>
          <w:iCs/>
          <w:color w:val="auto"/>
          <w:sz w:val="22"/>
          <w:szCs w:val="22"/>
        </w:rPr>
        <w:t>complexité à</w:t>
      </w:r>
      <w:r>
        <w:rPr>
          <w:i/>
          <w:iCs/>
          <w:sz w:val="22"/>
          <w:szCs w:val="22"/>
        </w:rPr>
        <w:t xml:space="preserve"> prédire le taux d’occupation des établissements de santé et le cas échéant, la gestion de ce flux sur un territoire donné. Cette prédiction, comme d’autres, est pourtant nécessaire à la garantie d’un accès au soin de qualité pour tous. La maitrise et l’exploitation de la donnée peut être une des clés. Le secteur de la santé est en pleine mutation et doit</w:t>
      </w:r>
      <w:r w:rsidRPr="00590C66">
        <w:rPr>
          <w:i/>
          <w:iCs/>
          <w:color w:val="auto"/>
          <w:sz w:val="22"/>
          <w:szCs w:val="22"/>
        </w:rPr>
        <w:t xml:space="preserve"> se saisir des opportunités offertes </w:t>
      </w:r>
      <w:r>
        <w:rPr>
          <w:i/>
          <w:iCs/>
          <w:color w:val="auto"/>
          <w:sz w:val="22"/>
          <w:szCs w:val="22"/>
        </w:rPr>
        <w:t xml:space="preserve">par l’évolution perpétuelle des </w:t>
      </w:r>
      <w:r w:rsidRPr="00590C66">
        <w:rPr>
          <w:i/>
          <w:iCs/>
          <w:color w:val="auto"/>
          <w:sz w:val="22"/>
          <w:szCs w:val="22"/>
        </w:rPr>
        <w:t xml:space="preserve">technologies, afin de maitriser et mieux coordonner demain son fonctionnement et son organisation au service de la santé des patients. </w:t>
      </w:r>
      <w:r>
        <w:rPr>
          <w:i/>
          <w:iCs/>
          <w:sz w:val="22"/>
          <w:szCs w:val="22"/>
        </w:rPr>
        <w:t xml:space="preserve">C’est tout l’enjeu du rapprochement entre le </w:t>
      </w:r>
      <w:proofErr w:type="spellStart"/>
      <w:r>
        <w:rPr>
          <w:i/>
          <w:iCs/>
          <w:sz w:val="22"/>
          <w:szCs w:val="22"/>
        </w:rPr>
        <w:t>DataLab</w:t>
      </w:r>
      <w:proofErr w:type="spellEnd"/>
      <w:r>
        <w:rPr>
          <w:i/>
          <w:iCs/>
          <w:sz w:val="22"/>
          <w:szCs w:val="22"/>
        </w:rPr>
        <w:t xml:space="preserve"> Normandie et le </w:t>
      </w:r>
      <w:proofErr w:type="spellStart"/>
      <w:r>
        <w:rPr>
          <w:i/>
          <w:iCs/>
          <w:sz w:val="22"/>
          <w:szCs w:val="22"/>
        </w:rPr>
        <w:t>Health</w:t>
      </w:r>
      <w:proofErr w:type="spellEnd"/>
      <w:r>
        <w:rPr>
          <w:i/>
          <w:iCs/>
          <w:sz w:val="22"/>
          <w:szCs w:val="22"/>
        </w:rPr>
        <w:t xml:space="preserve"> Data Hub » </w:t>
      </w:r>
      <w:r>
        <w:rPr>
          <w:sz w:val="22"/>
          <w:szCs w:val="22"/>
        </w:rPr>
        <w:t xml:space="preserve">a expliqué Françoise </w:t>
      </w:r>
      <w:proofErr w:type="spellStart"/>
      <w:r>
        <w:rPr>
          <w:sz w:val="22"/>
          <w:szCs w:val="22"/>
        </w:rPr>
        <w:t>Guégot</w:t>
      </w:r>
      <w:proofErr w:type="spellEnd"/>
      <w:r>
        <w:rPr>
          <w:sz w:val="22"/>
          <w:szCs w:val="22"/>
        </w:rPr>
        <w:t xml:space="preserve">, Vice-Présidente de la Région Normandie, en charge de l’enseignement supérieur, de la recherche, de l’innovation et du développement numérique. </w:t>
      </w:r>
    </w:p>
    <w:p w:rsidR="00590C66" w:rsidRDefault="00590C66" w:rsidP="00590C66">
      <w:pPr>
        <w:pStyle w:val="Default"/>
        <w:jc w:val="both"/>
        <w:rPr>
          <w:sz w:val="22"/>
          <w:szCs w:val="22"/>
        </w:rPr>
      </w:pPr>
      <w:r>
        <w:rPr>
          <w:sz w:val="22"/>
          <w:szCs w:val="22"/>
        </w:rPr>
        <w:t> </w:t>
      </w:r>
    </w:p>
    <w:p w:rsidR="00590C66" w:rsidRDefault="00590C66" w:rsidP="00590C66">
      <w:pPr>
        <w:spacing w:after="0" w:line="240" w:lineRule="auto"/>
        <w:jc w:val="both"/>
        <w:rPr>
          <w:rFonts w:ascii="Arial" w:hAnsi="Arial" w:cs="Arial"/>
        </w:rPr>
      </w:pPr>
      <w:r>
        <w:rPr>
          <w:rFonts w:ascii="Arial" w:hAnsi="Arial" w:cs="Arial"/>
        </w:rPr>
        <w:t xml:space="preserve">Pour mémoire, le </w:t>
      </w:r>
      <w:proofErr w:type="spellStart"/>
      <w:r>
        <w:rPr>
          <w:rFonts w:ascii="Arial" w:hAnsi="Arial" w:cs="Arial"/>
        </w:rPr>
        <w:t>DataLab</w:t>
      </w:r>
      <w:proofErr w:type="spellEnd"/>
      <w:r>
        <w:rPr>
          <w:rFonts w:ascii="Arial" w:hAnsi="Arial" w:cs="Arial"/>
        </w:rPr>
        <w:t xml:space="preserve"> Normandie a été lancé en juin 2019 afin d’apporter un appui opérationnel aux acteurs du territoire dans le développement de services innovants qui reposent sur la valorisation des données numériques et sur les technologies de l’Intelligence Artificielle (IA). Véritable écosystème de la donnée en Normandie,</w:t>
      </w:r>
      <w:r>
        <w:t xml:space="preserve"> </w:t>
      </w:r>
      <w:r>
        <w:rPr>
          <w:rFonts w:ascii="Arial" w:hAnsi="Arial" w:cs="Arial"/>
        </w:rPr>
        <w:t xml:space="preserve"> il réunit plus d’une vingtaine de partenaires normands (*) – privés et publics -  sous la forme d’un accord de consortium. </w:t>
      </w:r>
    </w:p>
    <w:p w:rsidR="00590C66" w:rsidRDefault="00590C66" w:rsidP="00590C66">
      <w:pPr>
        <w:spacing w:after="0" w:line="240" w:lineRule="auto"/>
        <w:jc w:val="both"/>
        <w:rPr>
          <w:rFonts w:ascii="Arial" w:hAnsi="Arial" w:cs="Arial"/>
        </w:rPr>
      </w:pPr>
    </w:p>
    <w:p w:rsidR="00590C66" w:rsidRDefault="00590C66" w:rsidP="00590C66">
      <w:pPr>
        <w:pStyle w:val="Default"/>
        <w:jc w:val="both"/>
        <w:rPr>
          <w:sz w:val="22"/>
          <w:szCs w:val="22"/>
        </w:rPr>
      </w:pPr>
    </w:p>
    <w:p w:rsidR="00590C66" w:rsidRDefault="00590C66" w:rsidP="00590C66">
      <w:pPr>
        <w:pStyle w:val="Default"/>
        <w:jc w:val="both"/>
        <w:rPr>
          <w:sz w:val="22"/>
          <w:szCs w:val="22"/>
        </w:rPr>
      </w:pPr>
      <w:r>
        <w:rPr>
          <w:sz w:val="22"/>
          <w:szCs w:val="22"/>
        </w:rPr>
        <w:lastRenderedPageBreak/>
        <w:t>La plateforme nationale de données de santé « </w:t>
      </w:r>
      <w:proofErr w:type="spellStart"/>
      <w:r>
        <w:rPr>
          <w:sz w:val="22"/>
          <w:szCs w:val="22"/>
        </w:rPr>
        <w:t>Health</w:t>
      </w:r>
      <w:proofErr w:type="spellEnd"/>
      <w:r>
        <w:rPr>
          <w:sz w:val="22"/>
          <w:szCs w:val="22"/>
        </w:rPr>
        <w:t xml:space="preserve"> Data Hub » a quant à elle été créé par la loi du 24 juillet 2019 relative à l’organisation et la transformation du système de santé. Son objectif est de permettre aux porteurs de projets habilités d’accéder à des données, via une plateforme technologique sécurisée et dans le respect du droit des citoyens, en vue d’améliorer la qualité des soins et l’accompagnement des patients. Elle associe 56 parties prenantes, en grande majorité issues de la puissance publique. Elle met en œuvre en partenariat avec la CNAM les grandes orientations stratégiques relatives au Système National des Données de Santé fixées par l’Etat et notamment le ministère des Solidarités et de la Santé. </w:t>
      </w:r>
    </w:p>
    <w:p w:rsidR="00590C66" w:rsidRDefault="00590C66" w:rsidP="00590C66">
      <w:pPr>
        <w:pStyle w:val="Default"/>
        <w:jc w:val="both"/>
        <w:rPr>
          <w:sz w:val="22"/>
          <w:szCs w:val="22"/>
        </w:rPr>
      </w:pPr>
    </w:p>
    <w:p w:rsidR="00590C66" w:rsidRDefault="00590C66" w:rsidP="00590C66">
      <w:pPr>
        <w:pStyle w:val="Default"/>
        <w:jc w:val="both"/>
        <w:rPr>
          <w:sz w:val="22"/>
          <w:szCs w:val="22"/>
        </w:rPr>
      </w:pPr>
      <w:r>
        <w:rPr>
          <w:sz w:val="22"/>
          <w:szCs w:val="22"/>
        </w:rPr>
        <w:t xml:space="preserve">L’accord de partenariat entre le </w:t>
      </w:r>
      <w:proofErr w:type="spellStart"/>
      <w:r>
        <w:rPr>
          <w:sz w:val="22"/>
          <w:szCs w:val="22"/>
        </w:rPr>
        <w:t>DataLab</w:t>
      </w:r>
      <w:proofErr w:type="spellEnd"/>
      <w:r>
        <w:rPr>
          <w:sz w:val="22"/>
          <w:szCs w:val="22"/>
        </w:rPr>
        <w:t xml:space="preserve"> Normandie et le </w:t>
      </w:r>
      <w:proofErr w:type="spellStart"/>
      <w:r>
        <w:rPr>
          <w:sz w:val="22"/>
          <w:szCs w:val="22"/>
        </w:rPr>
        <w:t>Health</w:t>
      </w:r>
      <w:proofErr w:type="spellEnd"/>
      <w:r>
        <w:rPr>
          <w:sz w:val="22"/>
          <w:szCs w:val="22"/>
        </w:rPr>
        <w:t xml:space="preserve"> Data Hub doit ainsi permettre de conforter les deux démarches et de faciliter le développement de nouveaux services par l’usage de la donnée dans le domaine de la santé. </w:t>
      </w:r>
    </w:p>
    <w:p w:rsidR="00590C66" w:rsidRDefault="00590C66" w:rsidP="00590C66">
      <w:pPr>
        <w:pStyle w:val="Default"/>
        <w:jc w:val="both"/>
        <w:rPr>
          <w:sz w:val="22"/>
          <w:szCs w:val="22"/>
        </w:rPr>
      </w:pPr>
    </w:p>
    <w:p w:rsidR="00590C66" w:rsidRDefault="00590C66" w:rsidP="00590C66">
      <w:pPr>
        <w:spacing w:after="120" w:line="240" w:lineRule="auto"/>
        <w:jc w:val="both"/>
        <w:rPr>
          <w:rFonts w:ascii="Arial" w:hAnsi="Arial" w:cs="Arial"/>
          <w:b/>
          <w:bCs/>
          <w:sz w:val="26"/>
          <w:szCs w:val="26"/>
        </w:rPr>
      </w:pPr>
      <w:r>
        <w:rPr>
          <w:rFonts w:ascii="Arial" w:hAnsi="Arial" w:cs="Arial"/>
          <w:b/>
          <w:bCs/>
          <w:sz w:val="26"/>
          <w:szCs w:val="26"/>
        </w:rPr>
        <w:t>2 millions d’euros pour encourager le développement de projets autour de la donnée</w:t>
      </w:r>
    </w:p>
    <w:p w:rsidR="00590C66" w:rsidRDefault="00590C66" w:rsidP="00590C66">
      <w:pPr>
        <w:spacing w:after="0" w:line="240" w:lineRule="auto"/>
        <w:jc w:val="both"/>
        <w:rPr>
          <w:rFonts w:ascii="Arial" w:hAnsi="Arial" w:cs="Arial"/>
        </w:rPr>
      </w:pPr>
      <w:r>
        <w:rPr>
          <w:rFonts w:ascii="Arial" w:hAnsi="Arial" w:cs="Arial"/>
        </w:rPr>
        <w:t xml:space="preserve">L’une des premières déclinaisons opérationnelles de ce partenariat est le lancement par la Région Normandie de l’appel à projets “Données et technologies associées, appliquées à la santé”. </w:t>
      </w:r>
    </w:p>
    <w:p w:rsidR="00590C66" w:rsidRDefault="00590C66" w:rsidP="00590C66">
      <w:pPr>
        <w:spacing w:after="0" w:line="240" w:lineRule="auto"/>
        <w:jc w:val="both"/>
        <w:rPr>
          <w:rFonts w:ascii="Arial" w:hAnsi="Arial" w:cs="Arial"/>
        </w:rPr>
      </w:pPr>
    </w:p>
    <w:p w:rsidR="00590C66" w:rsidRDefault="00590C66" w:rsidP="00590C66">
      <w:pPr>
        <w:spacing w:after="120" w:line="240" w:lineRule="auto"/>
        <w:jc w:val="both"/>
        <w:rPr>
          <w:rFonts w:ascii="Arial" w:hAnsi="Arial" w:cs="Arial"/>
        </w:rPr>
      </w:pPr>
      <w:r>
        <w:rPr>
          <w:rFonts w:ascii="Arial" w:hAnsi="Arial" w:cs="Arial"/>
        </w:rPr>
        <w:t xml:space="preserve">Doté de 2 millions d’euros de fonds « FEDER numérique », cet appel à projets doit permettre de faire émerger et d’accompagner des projets s’inscrivant </w:t>
      </w:r>
      <w:r>
        <w:rPr>
          <w:rFonts w:ascii="Arial" w:hAnsi="Arial" w:cs="Arial"/>
          <w:color w:val="000000"/>
          <w:lang w:eastAsia="fr-FR"/>
        </w:rPr>
        <w:t>dans l’un des périmètres suivants :</w:t>
      </w:r>
    </w:p>
    <w:p w:rsidR="00590C66" w:rsidRDefault="00590C66" w:rsidP="00590C66">
      <w:pPr>
        <w:numPr>
          <w:ilvl w:val="0"/>
          <w:numId w:val="6"/>
        </w:numPr>
        <w:shd w:val="clear" w:color="auto" w:fill="FFFFFF"/>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Projets utilisant des </w:t>
      </w:r>
      <w:r>
        <w:rPr>
          <w:rFonts w:ascii="Arial" w:eastAsia="Times New Roman" w:hAnsi="Arial" w:cs="Arial"/>
          <w:b/>
          <w:bCs/>
          <w:color w:val="000000"/>
          <w:lang w:eastAsia="fr-FR"/>
        </w:rPr>
        <w:t>données de santé</w:t>
      </w:r>
      <w:r>
        <w:rPr>
          <w:rFonts w:ascii="Arial" w:eastAsia="Times New Roman" w:hAnsi="Arial" w:cs="Arial"/>
          <w:color w:val="000000"/>
          <w:lang w:eastAsia="fr-FR"/>
        </w:rPr>
        <w:t> : Projets qui s’appuient sur des données à caractère personnel concernant la santé des individus (données cliniques). Par le caractère personnel de ces données, les projets doivent être conformes aux obligations de sécurité liées à leur traitement.</w:t>
      </w:r>
    </w:p>
    <w:p w:rsidR="00590C66" w:rsidRDefault="00590C66" w:rsidP="00590C66">
      <w:pPr>
        <w:shd w:val="clear" w:color="auto" w:fill="FFFFFF"/>
        <w:spacing w:after="0" w:line="240" w:lineRule="auto"/>
        <w:ind w:left="720"/>
        <w:jc w:val="both"/>
        <w:rPr>
          <w:rFonts w:ascii="Arial" w:hAnsi="Arial" w:cs="Arial"/>
          <w:color w:val="000000"/>
          <w:lang w:eastAsia="fr-FR"/>
        </w:rPr>
      </w:pPr>
    </w:p>
    <w:p w:rsidR="00590C66" w:rsidRDefault="00590C66" w:rsidP="00590C66">
      <w:pPr>
        <w:numPr>
          <w:ilvl w:val="0"/>
          <w:numId w:val="6"/>
        </w:numPr>
        <w:shd w:val="clear" w:color="auto" w:fill="FFFFFF"/>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Projets utilisant des </w:t>
      </w:r>
      <w:r>
        <w:rPr>
          <w:rFonts w:ascii="Arial" w:eastAsia="Times New Roman" w:hAnsi="Arial" w:cs="Arial"/>
          <w:b/>
          <w:bCs/>
          <w:color w:val="000000"/>
          <w:lang w:eastAsia="fr-FR"/>
        </w:rPr>
        <w:t>données utiles au secteur de la santé</w:t>
      </w:r>
      <w:r>
        <w:rPr>
          <w:rFonts w:ascii="Arial" w:eastAsia="Times New Roman" w:hAnsi="Arial" w:cs="Arial"/>
          <w:color w:val="000000"/>
          <w:lang w:eastAsia="fr-FR"/>
        </w:rPr>
        <w:t xml:space="preserve"> </w:t>
      </w:r>
      <w:r>
        <w:rPr>
          <w:rFonts w:ascii="Arial" w:eastAsia="Times New Roman" w:hAnsi="Arial" w:cs="Arial"/>
          <w:b/>
          <w:bCs/>
          <w:color w:val="000000"/>
          <w:lang w:eastAsia="fr-FR"/>
        </w:rPr>
        <w:t>:</w:t>
      </w:r>
      <w:r>
        <w:rPr>
          <w:rFonts w:ascii="Arial" w:eastAsia="Times New Roman" w:hAnsi="Arial" w:cs="Arial"/>
          <w:color w:val="000000"/>
          <w:lang w:eastAsia="fr-FR"/>
        </w:rPr>
        <w:t xml:space="preserve"> Il s’agit des projets pour lesquels les données utilisées ne sont pas des données d’ordre médical mais revêtent un intérêt, dans le but notamment d’optimiser les organisations dans le secteur de la santé (logistique ou ressources humaines ou coordination ou maitrise de flux, etc.).</w:t>
      </w:r>
    </w:p>
    <w:p w:rsidR="00590C66" w:rsidRDefault="00590C66" w:rsidP="00590C66">
      <w:pPr>
        <w:spacing w:after="0" w:line="240" w:lineRule="auto"/>
        <w:jc w:val="both"/>
        <w:rPr>
          <w:rFonts w:ascii="Arial" w:hAnsi="Arial" w:cs="Arial"/>
          <w:color w:val="000000"/>
          <w:lang w:eastAsia="fr-FR"/>
        </w:rPr>
      </w:pPr>
    </w:p>
    <w:p w:rsidR="00590C66" w:rsidRDefault="00590C66" w:rsidP="00590C66">
      <w:pPr>
        <w:jc w:val="both"/>
        <w:rPr>
          <w:rFonts w:ascii="Arial" w:hAnsi="Arial" w:cs="Arial"/>
          <w:b/>
          <w:bCs/>
          <w:color w:val="000000"/>
          <w:lang w:eastAsia="fr-FR"/>
        </w:rPr>
      </w:pPr>
      <w:r>
        <w:rPr>
          <w:rFonts w:ascii="Arial" w:hAnsi="Arial" w:cs="Arial"/>
          <w:color w:val="000000"/>
          <w:lang w:eastAsia="fr-FR"/>
        </w:rPr>
        <w:t xml:space="preserve">Les projets doivent démarrer </w:t>
      </w:r>
      <w:r>
        <w:rPr>
          <w:rFonts w:ascii="Arial" w:hAnsi="Arial" w:cs="Arial"/>
          <w:b/>
          <w:bCs/>
          <w:color w:val="000000"/>
          <w:lang w:eastAsia="fr-FR"/>
        </w:rPr>
        <w:t>au plus tard en juin 2021 et se terminer au plus tard en septembre/octobre 2022.</w:t>
      </w:r>
    </w:p>
    <w:p w:rsidR="00590C66" w:rsidRDefault="00590C66" w:rsidP="00590C66">
      <w:pPr>
        <w:spacing w:after="0"/>
        <w:jc w:val="both"/>
        <w:rPr>
          <w:rFonts w:ascii="Arial" w:hAnsi="Arial" w:cs="Arial"/>
          <w:color w:val="000000"/>
          <w:lang w:eastAsia="fr-FR"/>
        </w:rPr>
      </w:pPr>
      <w:r>
        <w:rPr>
          <w:rFonts w:ascii="Arial" w:hAnsi="Arial" w:cs="Arial"/>
          <w:color w:val="000000"/>
          <w:lang w:eastAsia="fr-FR"/>
        </w:rPr>
        <w:t xml:space="preserve">Les bénéficiaires peuvent être des collectivités territoriales et leurs groupements, syndicats mixtes, des établissements publics, des Etablissements d’Enseignement Supérieur, des GIP (Groupements d’intérêt public) des associations, des organismes privés chargés d’une mission de service public, des entreprises dans le cadre d’un partenariat formalisé avec une structure publique, des établissements de santé, réseaux et professionnels de santé publics et privés et plus généralement, toute structure porteuse au nom de plusieurs acteurs de santé. </w:t>
      </w:r>
    </w:p>
    <w:p w:rsidR="00590C66" w:rsidRDefault="00590C66" w:rsidP="00590C66">
      <w:pPr>
        <w:spacing w:after="0"/>
        <w:jc w:val="both"/>
        <w:rPr>
          <w:rFonts w:ascii="Arial" w:hAnsi="Arial" w:cs="Arial"/>
          <w:color w:val="000000"/>
          <w:lang w:eastAsia="fr-FR"/>
        </w:rPr>
      </w:pPr>
    </w:p>
    <w:p w:rsidR="00590C66" w:rsidRDefault="00590C66" w:rsidP="00590C66">
      <w:pPr>
        <w:spacing w:after="0"/>
        <w:jc w:val="both"/>
        <w:rPr>
          <w:rFonts w:ascii="Arial" w:hAnsi="Arial" w:cs="Arial"/>
          <w:b/>
          <w:bCs/>
          <w:color w:val="000000"/>
          <w:lang w:eastAsia="fr-FR"/>
        </w:rPr>
      </w:pPr>
      <w:r>
        <w:rPr>
          <w:rFonts w:ascii="Arial" w:hAnsi="Arial" w:cs="Arial"/>
          <w:b/>
          <w:bCs/>
          <w:color w:val="000000"/>
          <w:lang w:eastAsia="fr-FR"/>
        </w:rPr>
        <w:t xml:space="preserve">Les porteurs de projet retenus bénéficieront d’une subvention d’un montant minimum de 20 000 euros. </w:t>
      </w:r>
      <w:r>
        <w:rPr>
          <w:rFonts w:ascii="Arial" w:hAnsi="Arial" w:cs="Arial"/>
          <w:color w:val="000000"/>
          <w:lang w:eastAsia="fr-FR"/>
        </w:rPr>
        <w:t xml:space="preserve">Un accompagnement du </w:t>
      </w:r>
      <w:proofErr w:type="spellStart"/>
      <w:r>
        <w:rPr>
          <w:rFonts w:ascii="Arial" w:hAnsi="Arial" w:cs="Arial"/>
          <w:color w:val="000000"/>
          <w:lang w:eastAsia="fr-FR"/>
        </w:rPr>
        <w:t>DataLab</w:t>
      </w:r>
      <w:proofErr w:type="spellEnd"/>
      <w:r>
        <w:rPr>
          <w:rFonts w:ascii="Arial" w:hAnsi="Arial" w:cs="Arial"/>
          <w:color w:val="000000"/>
          <w:lang w:eastAsia="fr-FR"/>
        </w:rPr>
        <w:t xml:space="preserve"> Normandie et du </w:t>
      </w:r>
      <w:proofErr w:type="spellStart"/>
      <w:r>
        <w:rPr>
          <w:rFonts w:ascii="Arial" w:hAnsi="Arial" w:cs="Arial"/>
          <w:color w:val="000000"/>
          <w:lang w:eastAsia="fr-FR"/>
        </w:rPr>
        <w:t>Health</w:t>
      </w:r>
      <w:proofErr w:type="spellEnd"/>
      <w:r>
        <w:rPr>
          <w:rFonts w:ascii="Arial" w:hAnsi="Arial" w:cs="Arial"/>
          <w:color w:val="000000"/>
          <w:lang w:eastAsia="fr-FR"/>
        </w:rPr>
        <w:t xml:space="preserve"> Data Hub leur sera, par ailleurs, proposé.  </w:t>
      </w:r>
    </w:p>
    <w:p w:rsidR="00590C66" w:rsidRDefault="00590C66" w:rsidP="00590C66">
      <w:pPr>
        <w:spacing w:after="0" w:line="240" w:lineRule="auto"/>
        <w:rPr>
          <w:rFonts w:ascii="Times New Roman" w:hAnsi="Times New Roman" w:cs="Times New Roman"/>
          <w:sz w:val="24"/>
          <w:szCs w:val="24"/>
          <w:lang w:eastAsia="fr-FR"/>
        </w:rPr>
      </w:pPr>
    </w:p>
    <w:p w:rsidR="00590C66" w:rsidRDefault="00590C66" w:rsidP="00590C66">
      <w:pPr>
        <w:spacing w:after="0" w:line="240" w:lineRule="auto"/>
        <w:jc w:val="both"/>
        <w:rPr>
          <w:rFonts w:ascii="Times New Roman" w:hAnsi="Times New Roman" w:cs="Times New Roman"/>
          <w:lang w:eastAsia="fr-FR"/>
        </w:rPr>
      </w:pPr>
      <w:r>
        <w:rPr>
          <w:rFonts w:ascii="Arial" w:hAnsi="Arial" w:cs="Arial"/>
          <w:color w:val="000000"/>
          <w:lang w:eastAsia="fr-FR"/>
        </w:rPr>
        <w:t>L’appel à projets est consultable à l’adresse suivante :</w:t>
      </w:r>
    </w:p>
    <w:p w:rsidR="00590C66" w:rsidRDefault="003E216A" w:rsidP="00590C66">
      <w:pPr>
        <w:spacing w:after="0" w:line="240" w:lineRule="auto"/>
        <w:jc w:val="both"/>
        <w:rPr>
          <w:rFonts w:ascii="Times New Roman" w:hAnsi="Times New Roman" w:cs="Times New Roman"/>
          <w:lang w:eastAsia="fr-FR"/>
        </w:rPr>
      </w:pPr>
      <w:hyperlink r:id="rId9" w:history="1">
        <w:r w:rsidR="00590C66">
          <w:rPr>
            <w:rStyle w:val="Lienhypertexte"/>
            <w:rFonts w:ascii="Arial" w:hAnsi="Arial" w:cs="Arial"/>
            <w:color w:val="1155CC"/>
            <w:lang w:eastAsia="fr-FR"/>
          </w:rPr>
          <w:t>https://www.europe-en-normandie.eu/appel-a-projets/donnees-et-technologies-associees-appliquees-la-sante</w:t>
        </w:r>
      </w:hyperlink>
    </w:p>
    <w:p w:rsidR="00590C66" w:rsidRDefault="00590C66" w:rsidP="00590C66">
      <w:pPr>
        <w:spacing w:after="0" w:line="240" w:lineRule="auto"/>
        <w:jc w:val="both"/>
        <w:rPr>
          <w:rFonts w:ascii="Times New Roman" w:hAnsi="Times New Roman" w:cs="Times New Roman"/>
          <w:lang w:eastAsia="fr-FR"/>
        </w:rPr>
      </w:pPr>
      <w:r>
        <w:rPr>
          <w:rFonts w:ascii="Arial" w:hAnsi="Arial" w:cs="Arial"/>
          <w:color w:val="000000"/>
          <w:lang w:eastAsia="fr-FR"/>
        </w:rPr>
        <w:t> </w:t>
      </w:r>
    </w:p>
    <w:p w:rsidR="00590C66" w:rsidRDefault="00590C66" w:rsidP="00590C66">
      <w:pPr>
        <w:spacing w:after="0" w:line="240" w:lineRule="auto"/>
        <w:jc w:val="both"/>
        <w:rPr>
          <w:rFonts w:ascii="Arial" w:hAnsi="Arial" w:cs="Arial"/>
          <w:i/>
          <w:iCs/>
        </w:rPr>
      </w:pPr>
    </w:p>
    <w:p w:rsidR="00590C66" w:rsidRDefault="00590C66" w:rsidP="00590C66">
      <w:pPr>
        <w:spacing w:after="0" w:line="240" w:lineRule="auto"/>
        <w:jc w:val="both"/>
        <w:rPr>
          <w:rFonts w:ascii="Arial" w:hAnsi="Arial" w:cs="Arial"/>
          <w:i/>
          <w:iCs/>
        </w:rPr>
      </w:pPr>
      <w:r>
        <w:rPr>
          <w:rFonts w:ascii="Arial" w:hAnsi="Arial" w:cs="Arial"/>
          <w:i/>
          <w:iCs/>
        </w:rPr>
        <w:t xml:space="preserve">(*) Les partenaires du </w:t>
      </w:r>
      <w:proofErr w:type="spellStart"/>
      <w:r>
        <w:rPr>
          <w:rFonts w:ascii="Arial" w:hAnsi="Arial" w:cs="Arial"/>
          <w:i/>
          <w:iCs/>
        </w:rPr>
        <w:t>DataLab</w:t>
      </w:r>
      <w:proofErr w:type="spellEnd"/>
      <w:r>
        <w:rPr>
          <w:rFonts w:ascii="Arial" w:hAnsi="Arial" w:cs="Arial"/>
          <w:i/>
          <w:iCs/>
        </w:rPr>
        <w:t xml:space="preserve"> Normandie : Région Normandie, Rouen Métropole, Le Havre Seine Métropole, Moment Tech, </w:t>
      </w:r>
      <w:proofErr w:type="spellStart"/>
      <w:r>
        <w:rPr>
          <w:rFonts w:ascii="Arial" w:hAnsi="Arial" w:cs="Arial"/>
          <w:i/>
          <w:iCs/>
        </w:rPr>
        <w:t>Saagie</w:t>
      </w:r>
      <w:proofErr w:type="spellEnd"/>
      <w:r>
        <w:rPr>
          <w:rFonts w:ascii="Arial" w:hAnsi="Arial" w:cs="Arial"/>
          <w:i/>
          <w:iCs/>
        </w:rPr>
        <w:t xml:space="preserve"> , </w:t>
      </w:r>
      <w:proofErr w:type="spellStart"/>
      <w:r>
        <w:rPr>
          <w:rFonts w:ascii="Arial" w:hAnsi="Arial" w:cs="Arial"/>
          <w:i/>
          <w:iCs/>
        </w:rPr>
        <w:t>SoyHuce</w:t>
      </w:r>
      <w:proofErr w:type="spellEnd"/>
      <w:r>
        <w:rPr>
          <w:rFonts w:ascii="Arial" w:hAnsi="Arial" w:cs="Arial"/>
          <w:i/>
          <w:iCs/>
        </w:rPr>
        <w:t xml:space="preserve">, 7médical, </w:t>
      </w:r>
      <w:proofErr w:type="spellStart"/>
      <w:r>
        <w:rPr>
          <w:rFonts w:ascii="Arial" w:hAnsi="Arial" w:cs="Arial"/>
          <w:i/>
          <w:iCs/>
        </w:rPr>
        <w:t>Novimage</w:t>
      </w:r>
      <w:proofErr w:type="spellEnd"/>
      <w:r>
        <w:rPr>
          <w:rFonts w:ascii="Arial" w:hAnsi="Arial" w:cs="Arial"/>
          <w:i/>
          <w:iCs/>
        </w:rPr>
        <w:t xml:space="preserve"> , Orange, Pôle TES, </w:t>
      </w:r>
      <w:r>
        <w:rPr>
          <w:rFonts w:ascii="Arial" w:hAnsi="Arial" w:cs="Arial"/>
          <w:i/>
          <w:iCs/>
        </w:rPr>
        <w:lastRenderedPageBreak/>
        <w:t xml:space="preserve">SINAY, Caisse d’Epargne Normandie, COMUE, CRIANN, CNRS, INSA, Ecole de Management de Normandie, ENSI Caen, l’Université de Caen-Normandie, l’Université de Rouen-Normandie, l’Université Le Havre Normandie et les laboratoires publics de recherche (GREYC, LITIS, LMRS, LMNO, LMI, LMAH). </w:t>
      </w:r>
    </w:p>
    <w:p w:rsidR="00590C66" w:rsidRDefault="00590C66" w:rsidP="00590C66">
      <w:pPr>
        <w:spacing w:after="0" w:line="240" w:lineRule="auto"/>
        <w:jc w:val="both"/>
        <w:rPr>
          <w:rFonts w:ascii="Arial" w:hAnsi="Arial" w:cs="Arial"/>
          <w:i/>
          <w:iCs/>
        </w:rPr>
      </w:pPr>
    </w:p>
    <w:p w:rsidR="00590C66" w:rsidRDefault="00590C66" w:rsidP="00590C66">
      <w:pPr>
        <w:spacing w:after="0" w:line="240" w:lineRule="auto"/>
        <w:jc w:val="both"/>
        <w:rPr>
          <w:rFonts w:ascii="Arial" w:hAnsi="Arial" w:cs="Arial"/>
        </w:rPr>
      </w:pPr>
    </w:p>
    <w:p w:rsidR="00590C66" w:rsidRDefault="00590C66" w:rsidP="00590C66">
      <w:pPr>
        <w:spacing w:after="0" w:line="240" w:lineRule="auto"/>
        <w:jc w:val="both"/>
        <w:rPr>
          <w:rFonts w:ascii="Arial" w:hAnsi="Arial" w:cs="Arial"/>
        </w:rPr>
      </w:pPr>
      <w:r>
        <w:rPr>
          <w:rFonts w:ascii="Arial" w:hAnsi="Arial" w:cs="Arial"/>
        </w:rPr>
        <w:t xml:space="preserve">Contact presse : </w:t>
      </w:r>
    </w:p>
    <w:p w:rsidR="00590C66" w:rsidRDefault="00590C66" w:rsidP="00590C66">
      <w:pPr>
        <w:spacing w:after="0" w:line="240" w:lineRule="auto"/>
        <w:jc w:val="both"/>
        <w:rPr>
          <w:rFonts w:ascii="Arial" w:hAnsi="Arial" w:cs="Arial"/>
        </w:rPr>
      </w:pPr>
      <w:r>
        <w:rPr>
          <w:rFonts w:ascii="Arial" w:hAnsi="Arial" w:cs="Arial"/>
        </w:rPr>
        <w:t xml:space="preserve">Charlotte </w:t>
      </w:r>
      <w:proofErr w:type="spellStart"/>
      <w:r>
        <w:rPr>
          <w:rFonts w:ascii="Arial" w:hAnsi="Arial" w:cs="Arial"/>
        </w:rPr>
        <w:t>Chanteloup</w:t>
      </w:r>
      <w:proofErr w:type="spellEnd"/>
      <w:r>
        <w:rPr>
          <w:rFonts w:ascii="Arial" w:hAnsi="Arial" w:cs="Arial"/>
        </w:rPr>
        <w:t xml:space="preserve"> - 02 31 06 98 96 – 06 42 08 11 68  - </w:t>
      </w:r>
      <w:hyperlink r:id="rId10" w:history="1">
        <w:r>
          <w:rPr>
            <w:rStyle w:val="Lienhypertexte"/>
            <w:rFonts w:ascii="Arial" w:hAnsi="Arial" w:cs="Arial"/>
          </w:rPr>
          <w:t>charlotte.chanteloup@normandie.fr</w:t>
        </w:r>
      </w:hyperlink>
    </w:p>
    <w:p w:rsidR="00AB20BC" w:rsidRPr="0035619B" w:rsidRDefault="00AB20BC" w:rsidP="0035619B">
      <w:pPr>
        <w:rPr>
          <w:rFonts w:ascii="Arial" w:hAnsi="Arial" w:cs="Arial"/>
        </w:rPr>
      </w:pPr>
    </w:p>
    <w:sectPr w:rsidR="00AB20BC" w:rsidRPr="003561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991"/>
    <w:multiLevelType w:val="hybridMultilevel"/>
    <w:tmpl w:val="8146DB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8D09BA"/>
    <w:multiLevelType w:val="multilevel"/>
    <w:tmpl w:val="CF0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803FE"/>
    <w:multiLevelType w:val="multilevel"/>
    <w:tmpl w:val="A60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66AE4"/>
    <w:multiLevelType w:val="multilevel"/>
    <w:tmpl w:val="FCFE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65AF9"/>
    <w:multiLevelType w:val="multilevel"/>
    <w:tmpl w:val="FC388F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75"/>
    <w:rsid w:val="000331E9"/>
    <w:rsid w:val="000420E8"/>
    <w:rsid w:val="000F43C8"/>
    <w:rsid w:val="0013420A"/>
    <w:rsid w:val="00231609"/>
    <w:rsid w:val="00233447"/>
    <w:rsid w:val="00236516"/>
    <w:rsid w:val="00294047"/>
    <w:rsid w:val="00302E45"/>
    <w:rsid w:val="00346032"/>
    <w:rsid w:val="0035619B"/>
    <w:rsid w:val="003E216A"/>
    <w:rsid w:val="00453F02"/>
    <w:rsid w:val="00587046"/>
    <w:rsid w:val="00590C66"/>
    <w:rsid w:val="00604B75"/>
    <w:rsid w:val="006502E4"/>
    <w:rsid w:val="006A04F4"/>
    <w:rsid w:val="006A420A"/>
    <w:rsid w:val="008B09CF"/>
    <w:rsid w:val="008C56D2"/>
    <w:rsid w:val="008D7C47"/>
    <w:rsid w:val="00901E94"/>
    <w:rsid w:val="00A01178"/>
    <w:rsid w:val="00A80353"/>
    <w:rsid w:val="00AB20BC"/>
    <w:rsid w:val="00B51896"/>
    <w:rsid w:val="00BB7A3E"/>
    <w:rsid w:val="00C47486"/>
    <w:rsid w:val="00E03BB6"/>
    <w:rsid w:val="00F024CD"/>
    <w:rsid w:val="00F45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CA12-D18D-4B34-A67D-5634F453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0BC"/>
    <w:pPr>
      <w:ind w:left="720"/>
      <w:contextualSpacing/>
    </w:pPr>
  </w:style>
  <w:style w:type="character" w:styleId="Lienhypertexte">
    <w:name w:val="Hyperlink"/>
    <w:basedOn w:val="Policepardfaut"/>
    <w:uiPriority w:val="99"/>
    <w:semiHidden/>
    <w:unhideWhenUsed/>
    <w:rsid w:val="00AB20BC"/>
    <w:rPr>
      <w:color w:val="0563C1"/>
      <w:u w:val="single"/>
    </w:rPr>
  </w:style>
  <w:style w:type="paragraph" w:customStyle="1" w:styleId="Default">
    <w:name w:val="Default"/>
    <w:rsid w:val="00346032"/>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A0117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11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175613">
      <w:bodyDiv w:val="1"/>
      <w:marLeft w:val="0"/>
      <w:marRight w:val="0"/>
      <w:marTop w:val="0"/>
      <w:marBottom w:val="0"/>
      <w:divBdr>
        <w:top w:val="none" w:sz="0" w:space="0" w:color="auto"/>
        <w:left w:val="none" w:sz="0" w:space="0" w:color="auto"/>
        <w:bottom w:val="none" w:sz="0" w:space="0" w:color="auto"/>
        <w:right w:val="none" w:sz="0" w:space="0" w:color="auto"/>
      </w:divBdr>
    </w:div>
    <w:div w:id="354431187">
      <w:bodyDiv w:val="1"/>
      <w:marLeft w:val="0"/>
      <w:marRight w:val="0"/>
      <w:marTop w:val="0"/>
      <w:marBottom w:val="0"/>
      <w:divBdr>
        <w:top w:val="none" w:sz="0" w:space="0" w:color="auto"/>
        <w:left w:val="none" w:sz="0" w:space="0" w:color="auto"/>
        <w:bottom w:val="none" w:sz="0" w:space="0" w:color="auto"/>
        <w:right w:val="none" w:sz="0" w:space="0" w:color="auto"/>
      </w:divBdr>
      <w:divsChild>
        <w:div w:id="706610370">
          <w:marLeft w:val="0"/>
          <w:marRight w:val="0"/>
          <w:marTop w:val="0"/>
          <w:marBottom w:val="0"/>
          <w:divBdr>
            <w:top w:val="none" w:sz="0" w:space="0" w:color="auto"/>
            <w:left w:val="none" w:sz="0" w:space="0" w:color="auto"/>
            <w:bottom w:val="none" w:sz="0" w:space="0" w:color="auto"/>
            <w:right w:val="none" w:sz="0" w:space="0" w:color="auto"/>
          </w:divBdr>
          <w:divsChild>
            <w:div w:id="1258710678">
              <w:marLeft w:val="0"/>
              <w:marRight w:val="0"/>
              <w:marTop w:val="0"/>
              <w:marBottom w:val="0"/>
              <w:divBdr>
                <w:top w:val="none" w:sz="0" w:space="0" w:color="auto"/>
                <w:left w:val="none" w:sz="0" w:space="0" w:color="auto"/>
                <w:bottom w:val="none" w:sz="0" w:space="0" w:color="auto"/>
                <w:right w:val="none" w:sz="0" w:space="0" w:color="auto"/>
              </w:divBdr>
              <w:divsChild>
                <w:div w:id="354353451">
                  <w:marLeft w:val="0"/>
                  <w:marRight w:val="0"/>
                  <w:marTop w:val="0"/>
                  <w:marBottom w:val="0"/>
                  <w:divBdr>
                    <w:top w:val="none" w:sz="0" w:space="0" w:color="auto"/>
                    <w:left w:val="none" w:sz="0" w:space="0" w:color="auto"/>
                    <w:bottom w:val="none" w:sz="0" w:space="0" w:color="auto"/>
                    <w:right w:val="none" w:sz="0" w:space="0" w:color="auto"/>
                  </w:divBdr>
                  <w:divsChild>
                    <w:div w:id="129446426">
                      <w:marLeft w:val="0"/>
                      <w:marRight w:val="0"/>
                      <w:marTop w:val="0"/>
                      <w:marBottom w:val="0"/>
                      <w:divBdr>
                        <w:top w:val="none" w:sz="0" w:space="0" w:color="auto"/>
                        <w:left w:val="none" w:sz="0" w:space="0" w:color="auto"/>
                        <w:bottom w:val="none" w:sz="0" w:space="0" w:color="auto"/>
                        <w:right w:val="none" w:sz="0" w:space="0" w:color="auto"/>
                      </w:divBdr>
                      <w:divsChild>
                        <w:div w:id="1142694164">
                          <w:marLeft w:val="0"/>
                          <w:marRight w:val="0"/>
                          <w:marTop w:val="0"/>
                          <w:marBottom w:val="0"/>
                          <w:divBdr>
                            <w:top w:val="none" w:sz="0" w:space="0" w:color="auto"/>
                            <w:left w:val="none" w:sz="0" w:space="0" w:color="auto"/>
                            <w:bottom w:val="none" w:sz="0" w:space="0" w:color="auto"/>
                            <w:right w:val="none" w:sz="0" w:space="0" w:color="auto"/>
                          </w:divBdr>
                          <w:divsChild>
                            <w:div w:id="577053380">
                              <w:marLeft w:val="0"/>
                              <w:marRight w:val="0"/>
                              <w:marTop w:val="0"/>
                              <w:marBottom w:val="0"/>
                              <w:divBdr>
                                <w:top w:val="none" w:sz="0" w:space="0" w:color="auto"/>
                                <w:left w:val="none" w:sz="0" w:space="0" w:color="auto"/>
                                <w:bottom w:val="none" w:sz="0" w:space="0" w:color="auto"/>
                                <w:right w:val="none" w:sz="0" w:space="0" w:color="auto"/>
                              </w:divBdr>
                              <w:divsChild>
                                <w:div w:id="1076895777">
                                  <w:marLeft w:val="0"/>
                                  <w:marRight w:val="0"/>
                                  <w:marTop w:val="0"/>
                                  <w:marBottom w:val="0"/>
                                  <w:divBdr>
                                    <w:top w:val="none" w:sz="0" w:space="0" w:color="auto"/>
                                    <w:left w:val="none" w:sz="0" w:space="0" w:color="auto"/>
                                    <w:bottom w:val="none" w:sz="0" w:space="0" w:color="auto"/>
                                    <w:right w:val="none" w:sz="0" w:space="0" w:color="auto"/>
                                  </w:divBdr>
                                  <w:divsChild>
                                    <w:div w:id="1737629259">
                                      <w:marLeft w:val="0"/>
                                      <w:marRight w:val="0"/>
                                      <w:marTop w:val="0"/>
                                      <w:marBottom w:val="0"/>
                                      <w:divBdr>
                                        <w:top w:val="single" w:sz="48" w:space="31" w:color="CCCCCC"/>
                                        <w:left w:val="none" w:sz="0" w:space="0" w:color="auto"/>
                                        <w:bottom w:val="none" w:sz="0" w:space="0" w:color="auto"/>
                                        <w:right w:val="none" w:sz="0" w:space="0" w:color="auto"/>
                                      </w:divBdr>
                                      <w:divsChild>
                                        <w:div w:id="1373774546">
                                          <w:marLeft w:val="0"/>
                                          <w:marRight w:val="0"/>
                                          <w:marTop w:val="0"/>
                                          <w:marBottom w:val="0"/>
                                          <w:divBdr>
                                            <w:top w:val="none" w:sz="0" w:space="0" w:color="auto"/>
                                            <w:left w:val="none" w:sz="0" w:space="0" w:color="auto"/>
                                            <w:bottom w:val="none" w:sz="0" w:space="0" w:color="auto"/>
                                            <w:right w:val="none" w:sz="0" w:space="0" w:color="auto"/>
                                          </w:divBdr>
                                          <w:divsChild>
                                            <w:div w:id="921795426">
                                              <w:marLeft w:val="0"/>
                                              <w:marRight w:val="0"/>
                                              <w:marTop w:val="0"/>
                                              <w:marBottom w:val="0"/>
                                              <w:divBdr>
                                                <w:top w:val="none" w:sz="0" w:space="0" w:color="auto"/>
                                                <w:left w:val="none" w:sz="0" w:space="0" w:color="auto"/>
                                                <w:bottom w:val="none" w:sz="0" w:space="0" w:color="auto"/>
                                                <w:right w:val="none" w:sz="0" w:space="0" w:color="auto"/>
                                              </w:divBdr>
                                            </w:div>
                                            <w:div w:id="150952283">
                                              <w:marLeft w:val="0"/>
                                              <w:marRight w:val="0"/>
                                              <w:marTop w:val="0"/>
                                              <w:marBottom w:val="0"/>
                                              <w:divBdr>
                                                <w:top w:val="none" w:sz="0" w:space="0" w:color="auto"/>
                                                <w:left w:val="none" w:sz="0" w:space="0" w:color="auto"/>
                                                <w:bottom w:val="none" w:sz="0" w:space="0" w:color="auto"/>
                                                <w:right w:val="none" w:sz="0" w:space="0" w:color="auto"/>
                                              </w:divBdr>
                                            </w:div>
                                            <w:div w:id="6287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626602">
      <w:bodyDiv w:val="1"/>
      <w:marLeft w:val="0"/>
      <w:marRight w:val="0"/>
      <w:marTop w:val="0"/>
      <w:marBottom w:val="0"/>
      <w:divBdr>
        <w:top w:val="none" w:sz="0" w:space="0" w:color="auto"/>
        <w:left w:val="none" w:sz="0" w:space="0" w:color="auto"/>
        <w:bottom w:val="none" w:sz="0" w:space="0" w:color="auto"/>
        <w:right w:val="none" w:sz="0" w:space="0" w:color="auto"/>
      </w:divBdr>
    </w:div>
    <w:div w:id="543979799">
      <w:bodyDiv w:val="1"/>
      <w:marLeft w:val="0"/>
      <w:marRight w:val="0"/>
      <w:marTop w:val="0"/>
      <w:marBottom w:val="0"/>
      <w:divBdr>
        <w:top w:val="none" w:sz="0" w:space="0" w:color="auto"/>
        <w:left w:val="none" w:sz="0" w:space="0" w:color="auto"/>
        <w:bottom w:val="none" w:sz="0" w:space="0" w:color="auto"/>
        <w:right w:val="none" w:sz="0" w:space="0" w:color="auto"/>
      </w:divBdr>
    </w:div>
    <w:div w:id="1620599510">
      <w:bodyDiv w:val="1"/>
      <w:marLeft w:val="0"/>
      <w:marRight w:val="0"/>
      <w:marTop w:val="0"/>
      <w:marBottom w:val="0"/>
      <w:divBdr>
        <w:top w:val="none" w:sz="0" w:space="0" w:color="auto"/>
        <w:left w:val="none" w:sz="0" w:space="0" w:color="auto"/>
        <w:bottom w:val="none" w:sz="0" w:space="0" w:color="auto"/>
        <w:right w:val="none" w:sz="0" w:space="0" w:color="auto"/>
      </w:divBdr>
      <w:divsChild>
        <w:div w:id="1857229941">
          <w:marLeft w:val="0"/>
          <w:marRight w:val="0"/>
          <w:marTop w:val="0"/>
          <w:marBottom w:val="0"/>
          <w:divBdr>
            <w:top w:val="none" w:sz="0" w:space="0" w:color="auto"/>
            <w:left w:val="none" w:sz="0" w:space="0" w:color="auto"/>
            <w:bottom w:val="none" w:sz="0" w:space="0" w:color="auto"/>
            <w:right w:val="none" w:sz="0" w:space="0" w:color="auto"/>
          </w:divBdr>
          <w:divsChild>
            <w:div w:id="115955224">
              <w:marLeft w:val="0"/>
              <w:marRight w:val="0"/>
              <w:marTop w:val="0"/>
              <w:marBottom w:val="0"/>
              <w:divBdr>
                <w:top w:val="none" w:sz="0" w:space="0" w:color="auto"/>
                <w:left w:val="none" w:sz="0" w:space="0" w:color="auto"/>
                <w:bottom w:val="none" w:sz="0" w:space="0" w:color="auto"/>
                <w:right w:val="none" w:sz="0" w:space="0" w:color="auto"/>
              </w:divBdr>
              <w:divsChild>
                <w:div w:id="450629483">
                  <w:marLeft w:val="0"/>
                  <w:marRight w:val="0"/>
                  <w:marTop w:val="0"/>
                  <w:marBottom w:val="0"/>
                  <w:divBdr>
                    <w:top w:val="none" w:sz="0" w:space="0" w:color="auto"/>
                    <w:left w:val="none" w:sz="0" w:space="0" w:color="auto"/>
                    <w:bottom w:val="none" w:sz="0" w:space="0" w:color="auto"/>
                    <w:right w:val="none" w:sz="0" w:space="0" w:color="auto"/>
                  </w:divBdr>
                  <w:divsChild>
                    <w:div w:id="1869178080">
                      <w:marLeft w:val="0"/>
                      <w:marRight w:val="0"/>
                      <w:marTop w:val="0"/>
                      <w:marBottom w:val="0"/>
                      <w:divBdr>
                        <w:top w:val="none" w:sz="0" w:space="0" w:color="auto"/>
                        <w:left w:val="none" w:sz="0" w:space="0" w:color="auto"/>
                        <w:bottom w:val="none" w:sz="0" w:space="0" w:color="auto"/>
                        <w:right w:val="none" w:sz="0" w:space="0" w:color="auto"/>
                      </w:divBdr>
                      <w:divsChild>
                        <w:div w:id="612980388">
                          <w:marLeft w:val="0"/>
                          <w:marRight w:val="0"/>
                          <w:marTop w:val="0"/>
                          <w:marBottom w:val="0"/>
                          <w:divBdr>
                            <w:top w:val="none" w:sz="0" w:space="0" w:color="auto"/>
                            <w:left w:val="none" w:sz="0" w:space="0" w:color="auto"/>
                            <w:bottom w:val="none" w:sz="0" w:space="0" w:color="auto"/>
                            <w:right w:val="none" w:sz="0" w:space="0" w:color="auto"/>
                          </w:divBdr>
                          <w:divsChild>
                            <w:div w:id="954874518">
                              <w:marLeft w:val="0"/>
                              <w:marRight w:val="0"/>
                              <w:marTop w:val="0"/>
                              <w:marBottom w:val="0"/>
                              <w:divBdr>
                                <w:top w:val="none" w:sz="0" w:space="0" w:color="auto"/>
                                <w:left w:val="none" w:sz="0" w:space="0" w:color="auto"/>
                                <w:bottom w:val="none" w:sz="0" w:space="0" w:color="auto"/>
                                <w:right w:val="none" w:sz="0" w:space="0" w:color="auto"/>
                              </w:divBdr>
                              <w:divsChild>
                                <w:div w:id="400520959">
                                  <w:marLeft w:val="0"/>
                                  <w:marRight w:val="0"/>
                                  <w:marTop w:val="0"/>
                                  <w:marBottom w:val="0"/>
                                  <w:divBdr>
                                    <w:top w:val="none" w:sz="0" w:space="0" w:color="auto"/>
                                    <w:left w:val="none" w:sz="0" w:space="0" w:color="auto"/>
                                    <w:bottom w:val="none" w:sz="0" w:space="0" w:color="auto"/>
                                    <w:right w:val="none" w:sz="0" w:space="0" w:color="auto"/>
                                  </w:divBdr>
                                  <w:divsChild>
                                    <w:div w:id="10300720">
                                      <w:marLeft w:val="0"/>
                                      <w:marRight w:val="0"/>
                                      <w:marTop w:val="0"/>
                                      <w:marBottom w:val="0"/>
                                      <w:divBdr>
                                        <w:top w:val="single" w:sz="48" w:space="31" w:color="CCCCCC"/>
                                        <w:left w:val="none" w:sz="0" w:space="0" w:color="auto"/>
                                        <w:bottom w:val="none" w:sz="0" w:space="0" w:color="auto"/>
                                        <w:right w:val="none" w:sz="0" w:space="0" w:color="auto"/>
                                      </w:divBdr>
                                      <w:divsChild>
                                        <w:div w:id="1156188824">
                                          <w:marLeft w:val="0"/>
                                          <w:marRight w:val="0"/>
                                          <w:marTop w:val="0"/>
                                          <w:marBottom w:val="0"/>
                                          <w:divBdr>
                                            <w:top w:val="none" w:sz="0" w:space="0" w:color="auto"/>
                                            <w:left w:val="none" w:sz="0" w:space="0" w:color="auto"/>
                                            <w:bottom w:val="none" w:sz="0" w:space="0" w:color="auto"/>
                                            <w:right w:val="none" w:sz="0" w:space="0" w:color="auto"/>
                                          </w:divBdr>
                                          <w:divsChild>
                                            <w:div w:id="18666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114674">
      <w:bodyDiv w:val="1"/>
      <w:marLeft w:val="0"/>
      <w:marRight w:val="0"/>
      <w:marTop w:val="0"/>
      <w:marBottom w:val="0"/>
      <w:divBdr>
        <w:top w:val="none" w:sz="0" w:space="0" w:color="auto"/>
        <w:left w:val="none" w:sz="0" w:space="0" w:color="auto"/>
        <w:bottom w:val="none" w:sz="0" w:space="0" w:color="auto"/>
        <w:right w:val="none" w:sz="0" w:space="0" w:color="auto"/>
      </w:divBdr>
    </w:div>
    <w:div w:id="20645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harlotte.chanteloup@normandie.fr" TargetMode="External"/><Relationship Id="rId4" Type="http://schemas.openxmlformats.org/officeDocument/2006/relationships/webSettings" Target="webSettings.xml"/><Relationship Id="rId9" Type="http://schemas.openxmlformats.org/officeDocument/2006/relationships/hyperlink" Target="https://www.europe-en-normandie.eu/appel-a-projets/donnees-et-technologies-associees-appliquees-la-san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3</Pages>
  <Words>1006</Words>
  <Characters>5533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CHANTELOUP Charlotte</dc:creator>
  <cp:keywords/>
  <dc:description/>
  <cp:lastModifiedBy>WATTINNE Laure</cp:lastModifiedBy>
  <cp:revision>14</cp:revision>
  <cp:lastPrinted>2021-01-26T15:34:00Z</cp:lastPrinted>
  <dcterms:created xsi:type="dcterms:W3CDTF">2021-01-25T14:06:00Z</dcterms:created>
  <dcterms:modified xsi:type="dcterms:W3CDTF">2021-01-29T09:34:00Z</dcterms:modified>
</cp:coreProperties>
</file>