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95" w:rsidRPr="00B71B95" w:rsidRDefault="00E07797" w:rsidP="00B71B95">
      <w:r>
        <w:rPr>
          <w:noProof/>
        </w:rPr>
        <w:drawing>
          <wp:inline distT="0" distB="0" distL="0" distR="0" wp14:anchorId="41700003">
            <wp:extent cx="5457190" cy="5238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7190" cy="523875"/>
                    </a:xfrm>
                    <a:prstGeom prst="rect">
                      <a:avLst/>
                    </a:prstGeom>
                    <a:noFill/>
                  </pic:spPr>
                </pic:pic>
              </a:graphicData>
            </a:graphic>
          </wp:inline>
        </w:drawing>
      </w:r>
    </w:p>
    <w:p w:rsidR="00B71B95" w:rsidRPr="00B71B95" w:rsidRDefault="00B71B95" w:rsidP="00B71B95"/>
    <w:tbl>
      <w:tblPr>
        <w:tblW w:w="0" w:type="auto"/>
        <w:jc w:val="center"/>
        <w:tblCellMar>
          <w:left w:w="0" w:type="dxa"/>
          <w:right w:w="0" w:type="dxa"/>
        </w:tblCellMar>
        <w:tblLook w:val="04A0" w:firstRow="1" w:lastRow="0" w:firstColumn="1" w:lastColumn="0" w:noHBand="0" w:noVBand="1"/>
      </w:tblPr>
      <w:tblGrid>
        <w:gridCol w:w="1845"/>
        <w:gridCol w:w="2122"/>
        <w:gridCol w:w="1417"/>
        <w:gridCol w:w="2118"/>
        <w:gridCol w:w="1568"/>
      </w:tblGrid>
      <w:tr w:rsidR="00F10A8E" w:rsidRPr="00B71B95" w:rsidTr="00F10A8E">
        <w:trPr>
          <w:jc w:val="center"/>
        </w:trPr>
        <w:tc>
          <w:tcPr>
            <w:tcW w:w="1846" w:type="dxa"/>
            <w:vAlign w:val="center"/>
            <w:hideMark/>
          </w:tcPr>
          <w:p w:rsidR="00F10A8E" w:rsidRPr="00B71B95" w:rsidRDefault="00F10A8E">
            <w:pPr>
              <w:spacing w:line="252" w:lineRule="auto"/>
              <w:jc w:val="center"/>
            </w:pPr>
            <w:r w:rsidRPr="00B71B95">
              <w:rPr>
                <w:noProof/>
                <w:sz w:val="20"/>
                <w:szCs w:val="20"/>
              </w:rPr>
              <w:drawing>
                <wp:inline distT="0" distB="0" distL="0" distR="0" wp14:anchorId="0E26BADA" wp14:editId="7EDB00C7">
                  <wp:extent cx="1009650" cy="923925"/>
                  <wp:effectExtent l="0" t="0" r="0" b="9525"/>
                  <wp:docPr id="12" name="Image 12" descr="cid:part8.120AE2E8.4809B8A1@normandie-univ.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part8.120AE2E8.4809B8A1@normandie-univ.f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9650" cy="923925"/>
                          </a:xfrm>
                          <a:prstGeom prst="rect">
                            <a:avLst/>
                          </a:prstGeom>
                          <a:noFill/>
                          <a:ln>
                            <a:noFill/>
                          </a:ln>
                        </pic:spPr>
                      </pic:pic>
                    </a:graphicData>
                  </a:graphic>
                </wp:inline>
              </w:drawing>
            </w:r>
          </w:p>
        </w:tc>
        <w:tc>
          <w:tcPr>
            <w:tcW w:w="2124" w:type="dxa"/>
            <w:vAlign w:val="center"/>
            <w:hideMark/>
          </w:tcPr>
          <w:p w:rsidR="00F10A8E" w:rsidRPr="00B71B95" w:rsidRDefault="00F10A8E">
            <w:pPr>
              <w:spacing w:line="276" w:lineRule="auto"/>
              <w:jc w:val="center"/>
            </w:pPr>
            <w:r>
              <w:rPr>
                <w:noProof/>
              </w:rPr>
              <w:drawing>
                <wp:inline distT="0" distB="0" distL="0" distR="0" wp14:anchorId="32B9CC5A" wp14:editId="1CE16E7E">
                  <wp:extent cx="883920" cy="82931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829310"/>
                          </a:xfrm>
                          <a:prstGeom prst="rect">
                            <a:avLst/>
                          </a:prstGeom>
                          <a:noFill/>
                        </pic:spPr>
                      </pic:pic>
                    </a:graphicData>
                  </a:graphic>
                </wp:inline>
              </w:drawing>
            </w:r>
          </w:p>
        </w:tc>
        <w:tc>
          <w:tcPr>
            <w:tcW w:w="1417" w:type="dxa"/>
            <w:vAlign w:val="center"/>
            <w:hideMark/>
          </w:tcPr>
          <w:p w:rsidR="00F10A8E" w:rsidRPr="00B71B95" w:rsidRDefault="00F10A8E">
            <w:pPr>
              <w:spacing w:line="276" w:lineRule="auto"/>
              <w:jc w:val="center"/>
            </w:pPr>
            <w:r>
              <w:rPr>
                <w:noProof/>
              </w:rPr>
              <w:drawing>
                <wp:inline distT="0" distB="0" distL="0" distR="0" wp14:anchorId="0F588A6E" wp14:editId="52C34958">
                  <wp:extent cx="847725" cy="7131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713105"/>
                          </a:xfrm>
                          <a:prstGeom prst="rect">
                            <a:avLst/>
                          </a:prstGeom>
                          <a:noFill/>
                        </pic:spPr>
                      </pic:pic>
                    </a:graphicData>
                  </a:graphic>
                </wp:inline>
              </w:drawing>
            </w:r>
          </w:p>
        </w:tc>
        <w:tc>
          <w:tcPr>
            <w:tcW w:w="2119" w:type="dxa"/>
            <w:vAlign w:val="center"/>
            <w:hideMark/>
          </w:tcPr>
          <w:p w:rsidR="00F10A8E" w:rsidRPr="00B71B95" w:rsidRDefault="00F10A8E">
            <w:pPr>
              <w:spacing w:line="276" w:lineRule="auto"/>
              <w:jc w:val="center"/>
            </w:pPr>
            <w:r w:rsidRPr="00B71B95">
              <w:rPr>
                <w:rFonts w:ascii="Calibri" w:hAnsi="Calibri" w:cs="Calibri"/>
                <w:noProof/>
                <w:sz w:val="22"/>
                <w:szCs w:val="22"/>
              </w:rPr>
              <w:drawing>
                <wp:inline distT="0" distB="0" distL="0" distR="0" wp14:anchorId="28E19554" wp14:editId="712A819E">
                  <wp:extent cx="1114425" cy="676275"/>
                  <wp:effectExtent l="0" t="0" r="9525" b="9525"/>
                  <wp:docPr id="3" name="Image 3" descr="cid:part11.630FCB71.8CABDDF1@normandie-univ.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part11.630FCB71.8CABDDF1@normandie-univ.f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tc>
        <w:tc>
          <w:tcPr>
            <w:tcW w:w="1569" w:type="dxa"/>
            <w:vAlign w:val="center"/>
            <w:hideMark/>
          </w:tcPr>
          <w:p w:rsidR="00F10A8E" w:rsidRPr="00B71B95" w:rsidRDefault="00F10A8E">
            <w:pPr>
              <w:spacing w:line="276" w:lineRule="auto"/>
              <w:jc w:val="center"/>
            </w:pPr>
            <w:r w:rsidRPr="00B71B95">
              <w:rPr>
                <w:rFonts w:ascii="Calibri" w:hAnsi="Calibri" w:cs="Calibri"/>
                <w:noProof/>
                <w:sz w:val="22"/>
                <w:szCs w:val="22"/>
              </w:rPr>
              <w:drawing>
                <wp:inline distT="0" distB="0" distL="0" distR="0" wp14:anchorId="06BB7CE5" wp14:editId="61B2FF48">
                  <wp:extent cx="733425" cy="733425"/>
                  <wp:effectExtent l="0" t="0" r="9525" b="9525"/>
                  <wp:docPr id="1" name="Image 1" descr="cid:part12.7A46FFBA.CFFC30A6@normandie-univ.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part12.7A46FFBA.CFFC30A6@normandie-univ.f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r>
    </w:tbl>
    <w:p w:rsidR="00B71B95" w:rsidRPr="00B71B95" w:rsidRDefault="00B71B95" w:rsidP="00B71B95">
      <w:r w:rsidRPr="00B71B95">
        <w:t> </w:t>
      </w:r>
    </w:p>
    <w:p w:rsidR="00E07797" w:rsidRPr="005533D2" w:rsidRDefault="00B71B95" w:rsidP="00B71B95">
      <w:pPr>
        <w:rPr>
          <w:sz w:val="20"/>
        </w:rPr>
      </w:pPr>
      <w:r w:rsidRPr="00B71B95">
        <w:t> </w:t>
      </w:r>
    </w:p>
    <w:p w:rsidR="005533D2" w:rsidRPr="005533D2" w:rsidRDefault="00B640B6" w:rsidP="005533D2">
      <w:pPr>
        <w:pStyle w:val="Contenudecadre"/>
        <w:jc w:val="right"/>
        <w:rPr>
          <w:rFonts w:ascii="Arial" w:hAnsi="Arial" w:cs="Arial"/>
          <w:bCs/>
          <w:sz w:val="22"/>
          <w:szCs w:val="28"/>
          <w:lang w:eastAsia="en-US"/>
        </w:rPr>
      </w:pPr>
      <w:r>
        <w:rPr>
          <w:rFonts w:ascii="Arial" w:hAnsi="Arial" w:cs="Arial"/>
          <w:bCs/>
          <w:sz w:val="22"/>
          <w:szCs w:val="28"/>
          <w:lang w:eastAsia="en-US"/>
        </w:rPr>
        <w:t>Le 15</w:t>
      </w:r>
      <w:r w:rsidR="005533D2" w:rsidRPr="005533D2">
        <w:rPr>
          <w:rFonts w:ascii="Arial" w:hAnsi="Arial" w:cs="Arial"/>
          <w:bCs/>
          <w:sz w:val="22"/>
          <w:szCs w:val="28"/>
          <w:lang w:eastAsia="en-US"/>
        </w:rPr>
        <w:t xml:space="preserve"> octobre 2020</w:t>
      </w:r>
    </w:p>
    <w:p w:rsidR="005533D2" w:rsidRDefault="005533D2" w:rsidP="00B71B95">
      <w:pPr>
        <w:pStyle w:val="Contenudecadre"/>
        <w:jc w:val="both"/>
        <w:rPr>
          <w:rFonts w:ascii="Arial" w:hAnsi="Arial" w:cs="Arial"/>
          <w:b/>
          <w:bCs/>
          <w:sz w:val="28"/>
          <w:szCs w:val="28"/>
          <w:lang w:eastAsia="en-US"/>
        </w:rPr>
      </w:pPr>
    </w:p>
    <w:p w:rsidR="00B640B6" w:rsidRPr="00B640B6" w:rsidRDefault="00B640B6" w:rsidP="00B640B6">
      <w:pPr>
        <w:pStyle w:val="contenudecadre0"/>
        <w:spacing w:before="0" w:beforeAutospacing="0" w:after="0" w:afterAutospacing="0"/>
        <w:jc w:val="both"/>
      </w:pPr>
      <w:r w:rsidRPr="00B640B6">
        <w:rPr>
          <w:rFonts w:ascii="Arial" w:hAnsi="Arial" w:cs="Arial"/>
          <w:b/>
          <w:bCs/>
          <w:sz w:val="28"/>
          <w:szCs w:val="28"/>
          <w:lang w:eastAsia="en-US"/>
        </w:rPr>
        <w:t>Lancement de XL-CHEM, première Ecole Universitaire de Recherche en Normandie</w:t>
      </w:r>
    </w:p>
    <w:p w:rsidR="00B640B6" w:rsidRPr="00B640B6" w:rsidRDefault="00B640B6" w:rsidP="00B640B6">
      <w:pPr>
        <w:jc w:val="both"/>
      </w:pPr>
      <w:r w:rsidRPr="00B640B6">
        <w:rPr>
          <w:rFonts w:ascii="Arial" w:hAnsi="Arial" w:cs="Arial"/>
          <w:sz w:val="22"/>
          <w:szCs w:val="22"/>
        </w:rPr>
        <w:t> </w:t>
      </w:r>
    </w:p>
    <w:p w:rsidR="00B640B6" w:rsidRPr="00A91819" w:rsidRDefault="00B640B6" w:rsidP="00B640B6">
      <w:pPr>
        <w:jc w:val="both"/>
        <w:rPr>
          <w:rFonts w:ascii="Arial" w:hAnsi="Arial" w:cs="Arial"/>
          <w:b/>
          <w:bCs/>
          <w:sz w:val="22"/>
          <w:szCs w:val="22"/>
        </w:rPr>
      </w:pPr>
      <w:r w:rsidRPr="00B640B6">
        <w:rPr>
          <w:rFonts w:ascii="Arial" w:hAnsi="Arial" w:cs="Arial"/>
          <w:b/>
          <w:bCs/>
          <w:sz w:val="22"/>
          <w:szCs w:val="22"/>
        </w:rPr>
        <w:t xml:space="preserve">Pierre-André Durand, Préfet de la région Normandie, Préfet de la Seine-Maritime, Christine </w:t>
      </w:r>
      <w:proofErr w:type="spellStart"/>
      <w:r w:rsidRPr="00B640B6">
        <w:rPr>
          <w:rFonts w:ascii="Arial" w:hAnsi="Arial" w:cs="Arial"/>
          <w:b/>
          <w:bCs/>
          <w:sz w:val="22"/>
          <w:szCs w:val="22"/>
        </w:rPr>
        <w:t>Gavini</w:t>
      </w:r>
      <w:proofErr w:type="spellEnd"/>
      <w:r w:rsidRPr="00B640B6">
        <w:rPr>
          <w:rFonts w:ascii="Arial" w:hAnsi="Arial" w:cs="Arial"/>
          <w:b/>
          <w:bCs/>
          <w:sz w:val="22"/>
          <w:szCs w:val="22"/>
        </w:rPr>
        <w:t>-Chevet, Rectrice de la région académique Normandie, Rectrice de l’académie de Normandie, Chancelière des Universités, Hervé Morin, Pr</w:t>
      </w:r>
      <w:r w:rsidR="00A91819">
        <w:rPr>
          <w:rFonts w:ascii="Arial" w:hAnsi="Arial" w:cs="Arial"/>
          <w:b/>
          <w:bCs/>
          <w:sz w:val="22"/>
          <w:szCs w:val="22"/>
        </w:rPr>
        <w:t>ésident de la Région Normandie,</w:t>
      </w:r>
      <w:r w:rsidR="00A91819" w:rsidRPr="00A91819">
        <w:t xml:space="preserve"> </w:t>
      </w:r>
      <w:r w:rsidR="00A91819" w:rsidRPr="00A91819">
        <w:rPr>
          <w:rFonts w:ascii="Arial" w:hAnsi="Arial" w:cs="Arial"/>
          <w:b/>
          <w:bCs/>
          <w:sz w:val="22"/>
          <w:szCs w:val="22"/>
        </w:rPr>
        <w:t xml:space="preserve">Françoise </w:t>
      </w:r>
      <w:proofErr w:type="spellStart"/>
      <w:r w:rsidR="00A91819" w:rsidRPr="00A91819">
        <w:rPr>
          <w:rFonts w:ascii="Arial" w:hAnsi="Arial" w:cs="Arial"/>
          <w:b/>
          <w:bCs/>
          <w:sz w:val="22"/>
          <w:szCs w:val="22"/>
        </w:rPr>
        <w:t>Guégot</w:t>
      </w:r>
      <w:proofErr w:type="spellEnd"/>
      <w:r w:rsidR="00A91819" w:rsidRPr="00A91819">
        <w:rPr>
          <w:rFonts w:ascii="Arial" w:hAnsi="Arial" w:cs="Arial"/>
          <w:b/>
          <w:bCs/>
          <w:sz w:val="22"/>
          <w:szCs w:val="22"/>
        </w:rPr>
        <w:t>, Vice-présidente de la Région en charge de l’enseignement supérieur, de la recherche et du numérique</w:t>
      </w:r>
      <w:r w:rsidR="00A91819">
        <w:rPr>
          <w:rFonts w:ascii="Arial" w:hAnsi="Arial" w:cs="Arial"/>
          <w:b/>
          <w:bCs/>
          <w:sz w:val="22"/>
          <w:szCs w:val="22"/>
        </w:rPr>
        <w:t xml:space="preserve">, </w:t>
      </w:r>
      <w:r w:rsidRPr="00B640B6">
        <w:rPr>
          <w:rFonts w:ascii="Arial" w:hAnsi="Arial" w:cs="Arial"/>
          <w:b/>
          <w:bCs/>
          <w:sz w:val="22"/>
          <w:szCs w:val="22"/>
        </w:rPr>
        <w:t xml:space="preserve">Christine Brunel, Déléguée régionale du CNRS Normandie et Innocent </w:t>
      </w:r>
      <w:proofErr w:type="spellStart"/>
      <w:r w:rsidRPr="00B640B6">
        <w:rPr>
          <w:rFonts w:ascii="Arial" w:hAnsi="Arial" w:cs="Arial"/>
          <w:b/>
          <w:bCs/>
          <w:sz w:val="22"/>
          <w:szCs w:val="22"/>
        </w:rPr>
        <w:t>Mutabazi</w:t>
      </w:r>
      <w:proofErr w:type="spellEnd"/>
      <w:r w:rsidRPr="00B640B6">
        <w:rPr>
          <w:rFonts w:ascii="Arial" w:hAnsi="Arial" w:cs="Arial"/>
          <w:b/>
          <w:bCs/>
          <w:sz w:val="22"/>
          <w:szCs w:val="22"/>
        </w:rPr>
        <w:t xml:space="preserve">, Administrateur provisoire de Normandie Université, ont officiellement lancé, ce </w:t>
      </w:r>
      <w:r w:rsidR="00050635">
        <w:rPr>
          <w:rFonts w:ascii="Arial" w:hAnsi="Arial" w:cs="Arial"/>
          <w:b/>
          <w:bCs/>
          <w:sz w:val="22"/>
          <w:szCs w:val="22"/>
        </w:rPr>
        <w:t>matin</w:t>
      </w:r>
      <w:r w:rsidRPr="00B640B6">
        <w:rPr>
          <w:rFonts w:ascii="Arial" w:hAnsi="Arial" w:cs="Arial"/>
          <w:b/>
          <w:bCs/>
          <w:sz w:val="22"/>
          <w:szCs w:val="22"/>
        </w:rPr>
        <w:t xml:space="preserve">, à l’Abbaye-aux-Dames à Caen, la nouvelle Ecole Universitaire de Recherche XL-CHEM. Portée par la </w:t>
      </w:r>
      <w:proofErr w:type="spellStart"/>
      <w:r w:rsidRPr="00B640B6">
        <w:rPr>
          <w:rFonts w:ascii="Arial" w:hAnsi="Arial" w:cs="Arial"/>
          <w:b/>
          <w:bCs/>
          <w:sz w:val="22"/>
          <w:szCs w:val="22"/>
        </w:rPr>
        <w:t>ComUE</w:t>
      </w:r>
      <w:proofErr w:type="spellEnd"/>
      <w:r w:rsidRPr="00B640B6">
        <w:rPr>
          <w:rFonts w:ascii="Arial" w:hAnsi="Arial" w:cs="Arial"/>
          <w:b/>
          <w:bCs/>
          <w:sz w:val="22"/>
          <w:szCs w:val="22"/>
        </w:rPr>
        <w:t xml:space="preserve"> Normandie Université (*) en partenariat avec le CNRS et </w:t>
      </w:r>
      <w:proofErr w:type="spellStart"/>
      <w:r w:rsidRPr="00B640B6">
        <w:rPr>
          <w:rFonts w:ascii="Arial" w:hAnsi="Arial" w:cs="Arial"/>
          <w:b/>
          <w:bCs/>
          <w:sz w:val="22"/>
          <w:szCs w:val="22"/>
        </w:rPr>
        <w:t>co-f</w:t>
      </w:r>
      <w:r w:rsidR="006B107D">
        <w:rPr>
          <w:rFonts w:ascii="Arial" w:hAnsi="Arial" w:cs="Arial"/>
          <w:b/>
          <w:bCs/>
          <w:sz w:val="22"/>
          <w:szCs w:val="22"/>
        </w:rPr>
        <w:t>inancée</w:t>
      </w:r>
      <w:proofErr w:type="spellEnd"/>
      <w:r w:rsidR="006B107D">
        <w:rPr>
          <w:rFonts w:ascii="Arial" w:hAnsi="Arial" w:cs="Arial"/>
          <w:b/>
          <w:bCs/>
          <w:sz w:val="22"/>
          <w:szCs w:val="22"/>
        </w:rPr>
        <w:t xml:space="preserve"> par l’État et la Région</w:t>
      </w:r>
      <w:bookmarkStart w:id="0" w:name="_GoBack"/>
      <w:bookmarkEnd w:id="0"/>
      <w:r w:rsidRPr="00B640B6">
        <w:rPr>
          <w:rFonts w:ascii="Arial" w:hAnsi="Arial" w:cs="Arial"/>
          <w:b/>
          <w:bCs/>
          <w:sz w:val="22"/>
          <w:szCs w:val="22"/>
        </w:rPr>
        <w:t xml:space="preserve"> dans le cadre du programme d'investissements d'avenir (PIA3), XL-CHEM a pour ambition de faire de la Normandie un centre de recherche et de formation européen majeur pour la chimie moléculaire.</w:t>
      </w:r>
      <w:r w:rsidRPr="00B640B6">
        <w:t xml:space="preserve"> </w:t>
      </w:r>
      <w:r w:rsidRPr="00B640B6">
        <w:rPr>
          <w:rFonts w:ascii="Arial" w:hAnsi="Arial" w:cs="Arial"/>
          <w:b/>
          <w:bCs/>
          <w:sz w:val="22"/>
          <w:szCs w:val="22"/>
        </w:rPr>
        <w:t>Les premiers étudiants inscrits dans cette Ecole Universitaire de Recherche ont débuté leur formation en septembre 2020.</w:t>
      </w:r>
    </w:p>
    <w:p w:rsidR="00B640B6" w:rsidRPr="00B640B6" w:rsidRDefault="00B640B6" w:rsidP="00B640B6">
      <w:pPr>
        <w:jc w:val="both"/>
      </w:pPr>
      <w:r w:rsidRPr="00B640B6">
        <w:rPr>
          <w:rFonts w:ascii="Arial" w:hAnsi="Arial" w:cs="Arial"/>
          <w:sz w:val="22"/>
          <w:szCs w:val="22"/>
        </w:rPr>
        <w:t> </w:t>
      </w:r>
    </w:p>
    <w:p w:rsidR="00B640B6" w:rsidRPr="00B640B6" w:rsidRDefault="00B640B6" w:rsidP="00B640B6">
      <w:pPr>
        <w:jc w:val="both"/>
      </w:pPr>
      <w:r w:rsidRPr="00B640B6">
        <w:rPr>
          <w:rFonts w:ascii="Arial" w:hAnsi="Arial" w:cs="Arial"/>
          <w:sz w:val="22"/>
          <w:szCs w:val="22"/>
        </w:rPr>
        <w:t>Pour mémoire, dans le cadre du 3</w:t>
      </w:r>
      <w:r w:rsidRPr="00B640B6">
        <w:rPr>
          <w:rFonts w:ascii="Arial" w:hAnsi="Arial" w:cs="Arial"/>
          <w:sz w:val="22"/>
          <w:szCs w:val="22"/>
          <w:vertAlign w:val="superscript"/>
        </w:rPr>
        <w:t>ème</w:t>
      </w:r>
      <w:r w:rsidRPr="00B640B6">
        <w:rPr>
          <w:rFonts w:ascii="Arial" w:hAnsi="Arial" w:cs="Arial"/>
          <w:sz w:val="22"/>
          <w:szCs w:val="22"/>
        </w:rPr>
        <w:t xml:space="preserve"> volet du Programme d’Investissement d’Avenir (PIA 3), le Ministère de l’Enseignement Supérieur, de la Recherche et de l’Innovation a lancé en 2018 la seconde vague de l’appel à projet appelé « Écoles Universitaires de Recherche » (EUR). L’ambition de cet appel était d’offrir à chaque site universitaire la possibilité de renforcer l’impact et l’attractivité internationale de sa recherche et de ses formations, dans un ou plusieurs domaines scientifiques, par la création d’une ou plusieurs EUR. </w:t>
      </w:r>
    </w:p>
    <w:p w:rsidR="00B640B6" w:rsidRPr="00B640B6" w:rsidRDefault="00B640B6" w:rsidP="00B640B6">
      <w:pPr>
        <w:jc w:val="both"/>
      </w:pPr>
      <w:r w:rsidRPr="00B640B6">
        <w:rPr>
          <w:rFonts w:ascii="Arial" w:hAnsi="Arial" w:cs="Arial"/>
          <w:sz w:val="22"/>
          <w:szCs w:val="22"/>
        </w:rPr>
        <w:t> </w:t>
      </w:r>
    </w:p>
    <w:p w:rsidR="00B640B6" w:rsidRPr="00B640B6" w:rsidRDefault="00B640B6" w:rsidP="00B640B6">
      <w:pPr>
        <w:jc w:val="both"/>
      </w:pPr>
      <w:r w:rsidRPr="00B640B6">
        <w:rPr>
          <w:rFonts w:ascii="Arial" w:hAnsi="Arial" w:cs="Arial"/>
          <w:sz w:val="22"/>
          <w:szCs w:val="22"/>
        </w:rPr>
        <w:t>A l’issue d’une évaluation par un jury international des 191 projets déposés dans ce cadre, 24 lauréats ont été désignés, parmi lesquels le projet normand « XL-CHEM ».</w:t>
      </w:r>
    </w:p>
    <w:p w:rsidR="00B640B6" w:rsidRPr="00B640B6" w:rsidRDefault="00B640B6" w:rsidP="00B640B6">
      <w:pPr>
        <w:jc w:val="both"/>
      </w:pPr>
      <w:r w:rsidRPr="00B640B6">
        <w:rPr>
          <w:rFonts w:ascii="Arial" w:hAnsi="Arial" w:cs="Arial"/>
          <w:sz w:val="22"/>
          <w:szCs w:val="22"/>
        </w:rPr>
        <w:t> </w:t>
      </w:r>
    </w:p>
    <w:p w:rsidR="00B640B6" w:rsidRPr="00B640B6" w:rsidRDefault="00B640B6" w:rsidP="00B640B6">
      <w:pPr>
        <w:jc w:val="both"/>
      </w:pPr>
      <w:r w:rsidRPr="00B640B6">
        <w:rPr>
          <w:rFonts w:ascii="Arial" w:hAnsi="Arial" w:cs="Arial"/>
          <w:sz w:val="22"/>
          <w:szCs w:val="22"/>
        </w:rPr>
        <w:t>Première École Universitaire de Recherche en Normandie, XL-CHEM a vocation à former les cadres de demain, en proposant des cursus de niveau Master et Doctorat innovants, couplant une formation par la recherche d’excellence et une formation spécifique approfondie en entreprenariat et management. L’école regroupe toutes les unités de chimie médicinale, moléculaire et macromoléculaire normandes sur un territoire qui représente le 2</w:t>
      </w:r>
      <w:r w:rsidRPr="00B640B6">
        <w:rPr>
          <w:rFonts w:ascii="Arial" w:hAnsi="Arial" w:cs="Arial"/>
          <w:sz w:val="22"/>
          <w:szCs w:val="22"/>
          <w:vertAlign w:val="superscript"/>
        </w:rPr>
        <w:t>nd</w:t>
      </w:r>
      <w:r w:rsidRPr="00B640B6">
        <w:rPr>
          <w:rFonts w:ascii="Arial" w:hAnsi="Arial" w:cs="Arial"/>
          <w:sz w:val="22"/>
          <w:szCs w:val="22"/>
        </w:rPr>
        <w:t xml:space="preserve"> bassin de production de médicaments en Europe.</w:t>
      </w:r>
    </w:p>
    <w:p w:rsidR="00B640B6" w:rsidRPr="00B640B6" w:rsidRDefault="00B640B6" w:rsidP="00B640B6">
      <w:pPr>
        <w:jc w:val="both"/>
      </w:pPr>
      <w:r w:rsidRPr="00B640B6">
        <w:rPr>
          <w:rFonts w:ascii="Arial" w:hAnsi="Arial" w:cs="Arial"/>
          <w:sz w:val="22"/>
          <w:szCs w:val="22"/>
        </w:rPr>
        <w:t> </w:t>
      </w:r>
    </w:p>
    <w:p w:rsidR="00B640B6" w:rsidRPr="00B640B6" w:rsidRDefault="00B640B6" w:rsidP="00B640B6">
      <w:pPr>
        <w:jc w:val="both"/>
      </w:pPr>
      <w:r w:rsidRPr="00B640B6">
        <w:rPr>
          <w:rFonts w:ascii="Arial" w:hAnsi="Arial" w:cs="Arial"/>
          <w:sz w:val="22"/>
          <w:szCs w:val="22"/>
        </w:rPr>
        <w:t xml:space="preserve">Son objectif est de former des chimistes qui pourront détecter les opportunités, oser, entreprendre, et apprendre les concepts et outils du management moderne. Une fois diplômés, les étudiants de l’EUR XL-CHEM seront préparés pour intégrer les industries scientifiques, y compris la recherche, ainsi que des domaines tels que le marketing et l'administration de projets. Les étudiants s'appuieront sur l'expertise des universitaires du </w:t>
      </w:r>
      <w:r w:rsidRPr="00B640B6">
        <w:rPr>
          <w:rFonts w:ascii="Arial" w:hAnsi="Arial" w:cs="Arial"/>
          <w:sz w:val="22"/>
          <w:szCs w:val="22"/>
        </w:rPr>
        <w:lastRenderedPageBreak/>
        <w:t>département de chimie et de la formation en gestion, et pourront contribuer à la recherche de pointe en cours dans le monde.</w:t>
      </w:r>
    </w:p>
    <w:p w:rsidR="00B640B6" w:rsidRPr="00B640B6" w:rsidRDefault="00B640B6" w:rsidP="00B640B6">
      <w:pPr>
        <w:jc w:val="both"/>
      </w:pPr>
      <w:r w:rsidRPr="00B640B6">
        <w:rPr>
          <w:rFonts w:ascii="Arial" w:hAnsi="Arial" w:cs="Arial"/>
          <w:sz w:val="22"/>
          <w:szCs w:val="22"/>
        </w:rPr>
        <w:t> </w:t>
      </w:r>
    </w:p>
    <w:p w:rsidR="00B640B6" w:rsidRPr="00B640B6" w:rsidRDefault="00B640B6" w:rsidP="00B640B6">
      <w:pPr>
        <w:jc w:val="both"/>
      </w:pPr>
      <w:r w:rsidRPr="00B640B6">
        <w:rPr>
          <w:rFonts w:ascii="Arial" w:hAnsi="Arial" w:cs="Arial"/>
          <w:sz w:val="22"/>
          <w:szCs w:val="22"/>
        </w:rPr>
        <w:t xml:space="preserve">XL-CHEM s’appuie notamment sur l’excellence de la recherche menée au sein du LABEX </w:t>
      </w:r>
      <w:proofErr w:type="spellStart"/>
      <w:r w:rsidRPr="00B640B6">
        <w:rPr>
          <w:rFonts w:ascii="Arial" w:hAnsi="Arial" w:cs="Arial"/>
          <w:sz w:val="22"/>
          <w:szCs w:val="22"/>
        </w:rPr>
        <w:t>SynOrg</w:t>
      </w:r>
      <w:proofErr w:type="spellEnd"/>
      <w:r w:rsidRPr="00B640B6">
        <w:rPr>
          <w:rFonts w:ascii="Arial" w:hAnsi="Arial" w:cs="Arial"/>
          <w:sz w:val="22"/>
          <w:szCs w:val="22"/>
        </w:rPr>
        <w:t xml:space="preserve"> (Synthèse Organique pour le Vivant), plus grand laboratoire français de synthèse organique et de l’institut Carnot I2C, qui s’engage à développer la recherche pour soutenir l’innovation des entreprises dans les secteurs de la pharmacie, de la cosmétique, du développement durable, de la chimie de spécialité et des matériaux polymères. </w:t>
      </w:r>
    </w:p>
    <w:p w:rsidR="00B640B6" w:rsidRPr="00B640B6" w:rsidRDefault="00B640B6" w:rsidP="00B640B6">
      <w:pPr>
        <w:jc w:val="both"/>
      </w:pPr>
      <w:r w:rsidRPr="00B640B6">
        <w:rPr>
          <w:rFonts w:ascii="Arial" w:hAnsi="Arial" w:cs="Arial"/>
          <w:sz w:val="22"/>
          <w:szCs w:val="22"/>
        </w:rPr>
        <w:t>XL-CHEM peut également s’appuyer sur Normandie Valorisation pour le transfert de technologie. Les Laboratoires impliqués dans XL-CHEM ont aussi des liens durables avec l’industrie, par exemple via des laboratoires communs avec des grands groupes, et la création de start-ups issues des travaux de recherche des laboratoires.</w:t>
      </w:r>
    </w:p>
    <w:p w:rsidR="00946093" w:rsidRDefault="00946093" w:rsidP="00B640B6">
      <w:pPr>
        <w:jc w:val="both"/>
        <w:rPr>
          <w:b/>
          <w:bCs/>
        </w:rPr>
      </w:pPr>
    </w:p>
    <w:p w:rsidR="00946093" w:rsidRPr="00946093" w:rsidRDefault="00946093" w:rsidP="00B640B6">
      <w:pPr>
        <w:jc w:val="both"/>
      </w:pPr>
      <w:r>
        <w:rPr>
          <w:rFonts w:ascii="Arial" w:hAnsi="Arial" w:cs="Arial"/>
          <w:b/>
          <w:bCs/>
          <w:sz w:val="22"/>
          <w:szCs w:val="22"/>
        </w:rPr>
        <w:t>D</w:t>
      </w:r>
      <w:r w:rsidRPr="00946093">
        <w:rPr>
          <w:rFonts w:ascii="Arial" w:hAnsi="Arial" w:cs="Arial"/>
          <w:b/>
          <w:bCs/>
          <w:sz w:val="22"/>
          <w:szCs w:val="22"/>
        </w:rPr>
        <w:t>ans le cadre du programme d'investissements d'avenir (PIA3</w:t>
      </w:r>
      <w:r>
        <w:rPr>
          <w:rFonts w:ascii="Arial" w:hAnsi="Arial" w:cs="Arial"/>
          <w:b/>
          <w:bCs/>
          <w:sz w:val="22"/>
          <w:szCs w:val="22"/>
        </w:rPr>
        <w:t>)</w:t>
      </w:r>
      <w:r>
        <w:t>,</w:t>
      </w:r>
      <w:r w:rsidRPr="00946093">
        <w:rPr>
          <w:rFonts w:ascii="Arial" w:hAnsi="Arial" w:cs="Arial"/>
          <w:b/>
          <w:bCs/>
          <w:sz w:val="22"/>
          <w:szCs w:val="22"/>
        </w:rPr>
        <w:t xml:space="preserve"> l</w:t>
      </w:r>
      <w:r w:rsidR="00B640B6" w:rsidRPr="00B640B6">
        <w:rPr>
          <w:rFonts w:ascii="Arial" w:hAnsi="Arial" w:cs="Arial"/>
          <w:b/>
          <w:bCs/>
          <w:sz w:val="22"/>
          <w:szCs w:val="22"/>
        </w:rPr>
        <w:t xml:space="preserve">’État soutient le projet </w:t>
      </w:r>
      <w:r w:rsidRPr="00946093">
        <w:rPr>
          <w:rFonts w:ascii="Arial" w:hAnsi="Arial" w:cs="Arial"/>
          <w:b/>
          <w:bCs/>
          <w:sz w:val="22"/>
          <w:szCs w:val="22"/>
        </w:rPr>
        <w:t xml:space="preserve">XL-CHEM </w:t>
      </w:r>
      <w:r w:rsidR="00B640B6" w:rsidRPr="00B640B6">
        <w:rPr>
          <w:rFonts w:ascii="Arial" w:hAnsi="Arial" w:cs="Arial"/>
          <w:b/>
          <w:bCs/>
          <w:sz w:val="22"/>
          <w:szCs w:val="22"/>
        </w:rPr>
        <w:t>à hauteur de 4,1 millions d’euros pendant 8 ans.</w:t>
      </w:r>
      <w:r>
        <w:rPr>
          <w:rFonts w:ascii="Arial" w:hAnsi="Arial" w:cs="Arial"/>
          <w:b/>
          <w:bCs/>
          <w:sz w:val="22"/>
          <w:szCs w:val="22"/>
        </w:rPr>
        <w:t xml:space="preserve"> L</w:t>
      </w:r>
      <w:r w:rsidRPr="00946093">
        <w:rPr>
          <w:rFonts w:ascii="Arial" w:hAnsi="Arial" w:cs="Arial"/>
          <w:b/>
          <w:bCs/>
          <w:sz w:val="22"/>
          <w:szCs w:val="22"/>
        </w:rPr>
        <w:t xml:space="preserve">a Région a </w:t>
      </w:r>
      <w:r>
        <w:rPr>
          <w:rFonts w:ascii="Arial" w:hAnsi="Arial" w:cs="Arial"/>
          <w:b/>
          <w:bCs/>
          <w:sz w:val="22"/>
          <w:szCs w:val="22"/>
        </w:rPr>
        <w:t xml:space="preserve">quant à elle </w:t>
      </w:r>
      <w:r w:rsidRPr="00946093">
        <w:rPr>
          <w:rFonts w:ascii="Arial" w:hAnsi="Arial" w:cs="Arial"/>
          <w:b/>
          <w:bCs/>
          <w:sz w:val="22"/>
          <w:szCs w:val="22"/>
        </w:rPr>
        <w:t xml:space="preserve">accordé une première subvention d’un montant de 968 800 euros sur 3 ans </w:t>
      </w:r>
      <w:r>
        <w:rPr>
          <w:rFonts w:ascii="Arial" w:hAnsi="Arial" w:cs="Arial"/>
          <w:b/>
          <w:bCs/>
          <w:sz w:val="22"/>
          <w:szCs w:val="22"/>
        </w:rPr>
        <w:t>à ce projet.</w:t>
      </w:r>
    </w:p>
    <w:p w:rsidR="00B640B6" w:rsidRPr="00B640B6" w:rsidRDefault="00B640B6" w:rsidP="00B640B6">
      <w:pPr>
        <w:jc w:val="both"/>
      </w:pPr>
    </w:p>
    <w:p w:rsidR="00B640B6" w:rsidRPr="00B640B6" w:rsidRDefault="00B640B6" w:rsidP="00B640B6">
      <w:pPr>
        <w:jc w:val="both"/>
      </w:pPr>
      <w:r w:rsidRPr="00B640B6">
        <w:rPr>
          <w:rFonts w:ascii="Arial" w:hAnsi="Arial" w:cs="Arial"/>
          <w:b/>
          <w:bCs/>
          <w:sz w:val="22"/>
          <w:szCs w:val="22"/>
        </w:rPr>
        <w:t xml:space="preserve">(*) Les cinq établissements membres de la </w:t>
      </w:r>
      <w:proofErr w:type="spellStart"/>
      <w:r w:rsidRPr="00B640B6">
        <w:rPr>
          <w:rFonts w:ascii="Arial" w:hAnsi="Arial" w:cs="Arial"/>
          <w:b/>
          <w:bCs/>
          <w:sz w:val="22"/>
          <w:szCs w:val="22"/>
        </w:rPr>
        <w:t>ComUE</w:t>
      </w:r>
      <w:proofErr w:type="spellEnd"/>
      <w:r w:rsidRPr="00B640B6">
        <w:rPr>
          <w:rFonts w:ascii="Arial" w:hAnsi="Arial" w:cs="Arial"/>
          <w:b/>
          <w:bCs/>
          <w:sz w:val="22"/>
          <w:szCs w:val="22"/>
        </w:rPr>
        <w:t xml:space="preserve"> Normandie Université impliqués dans l’EUR XL-CHEM :</w:t>
      </w:r>
    </w:p>
    <w:p w:rsidR="00B640B6" w:rsidRPr="00B640B6" w:rsidRDefault="00B640B6" w:rsidP="00B640B6">
      <w:pPr>
        <w:jc w:val="both"/>
      </w:pPr>
      <w:r w:rsidRPr="00B640B6">
        <w:rPr>
          <w:rFonts w:ascii="Arial" w:hAnsi="Arial" w:cs="Arial"/>
          <w:sz w:val="22"/>
          <w:szCs w:val="22"/>
        </w:rPr>
        <w:t>Université de Caen Normandie, Université Le Havre Normandie, Université de Rouen Normandie,  ENSICAEN, INSA Rouen Normandie</w:t>
      </w:r>
    </w:p>
    <w:p w:rsidR="00B640B6" w:rsidRPr="00B640B6" w:rsidRDefault="00B640B6" w:rsidP="00B640B6">
      <w:pPr>
        <w:jc w:val="both"/>
      </w:pPr>
      <w:r w:rsidRPr="00B640B6">
        <w:rPr>
          <w:rFonts w:ascii="Arial" w:hAnsi="Arial" w:cs="Arial"/>
          <w:b/>
          <w:bCs/>
          <w:sz w:val="22"/>
          <w:szCs w:val="22"/>
        </w:rPr>
        <w:t> </w:t>
      </w:r>
    </w:p>
    <w:p w:rsidR="00B640B6" w:rsidRPr="00B640B6" w:rsidRDefault="00B640B6" w:rsidP="00B640B6">
      <w:pPr>
        <w:jc w:val="both"/>
      </w:pPr>
      <w:r w:rsidRPr="00B640B6">
        <w:rPr>
          <w:rFonts w:ascii="Arial" w:hAnsi="Arial" w:cs="Arial"/>
          <w:b/>
          <w:bCs/>
          <w:sz w:val="22"/>
          <w:szCs w:val="22"/>
        </w:rPr>
        <w:t>Les huit laboratoires de l’EUR XL-CHEM</w:t>
      </w:r>
      <w:r w:rsidRPr="00B640B6">
        <w:rPr>
          <w:rFonts w:ascii="Arial" w:hAnsi="Arial" w:cs="Arial"/>
          <w:sz w:val="22"/>
          <w:szCs w:val="22"/>
        </w:rPr>
        <w:t xml:space="preserve"> : COBRA, LCMT, PBS, ISTCT, URCOM, SMS, </w:t>
      </w:r>
      <w:proofErr w:type="spellStart"/>
      <w:r w:rsidRPr="00B640B6">
        <w:rPr>
          <w:rFonts w:ascii="Arial" w:hAnsi="Arial" w:cs="Arial"/>
          <w:sz w:val="22"/>
          <w:szCs w:val="22"/>
        </w:rPr>
        <w:t>GlycoMev</w:t>
      </w:r>
      <w:proofErr w:type="spellEnd"/>
      <w:r w:rsidRPr="00B640B6">
        <w:rPr>
          <w:rFonts w:ascii="Arial" w:hAnsi="Arial" w:cs="Arial"/>
          <w:sz w:val="22"/>
          <w:szCs w:val="22"/>
        </w:rPr>
        <w:t>, CERMN</w:t>
      </w:r>
    </w:p>
    <w:p w:rsidR="004D1E4F" w:rsidRPr="00B640B6" w:rsidRDefault="004D1E4F" w:rsidP="00B640B6">
      <w:pPr>
        <w:tabs>
          <w:tab w:val="left" w:pos="2310"/>
        </w:tabs>
        <w:rPr>
          <w:rFonts w:ascii="Arial" w:hAnsi="Arial" w:cs="Arial"/>
          <w:sz w:val="22"/>
          <w:szCs w:val="22"/>
        </w:rPr>
      </w:pPr>
    </w:p>
    <w:p w:rsidR="00B640B6" w:rsidRDefault="00B640B6" w:rsidP="00B640B6">
      <w:pPr>
        <w:tabs>
          <w:tab w:val="left" w:pos="2310"/>
        </w:tabs>
        <w:rPr>
          <w:rFonts w:ascii="Arial" w:hAnsi="Arial" w:cs="Arial"/>
          <w:sz w:val="22"/>
          <w:szCs w:val="22"/>
        </w:rPr>
      </w:pPr>
    </w:p>
    <w:p w:rsidR="00B640B6" w:rsidRDefault="00B640B6" w:rsidP="00B640B6">
      <w:pPr>
        <w:tabs>
          <w:tab w:val="left" w:pos="2310"/>
        </w:tabs>
        <w:rPr>
          <w:rFonts w:ascii="Arial" w:hAnsi="Arial" w:cs="Arial"/>
          <w:sz w:val="22"/>
          <w:szCs w:val="22"/>
        </w:rPr>
      </w:pPr>
    </w:p>
    <w:p w:rsidR="00B640B6" w:rsidRDefault="00B640B6" w:rsidP="00B640B6">
      <w:pPr>
        <w:spacing w:after="120"/>
        <w:jc w:val="both"/>
      </w:pPr>
      <w:r>
        <w:rPr>
          <w:rFonts w:ascii="Arial" w:hAnsi="Arial" w:cs="Arial"/>
          <w:sz w:val="20"/>
          <w:szCs w:val="20"/>
          <w:u w:val="single"/>
        </w:rPr>
        <w:t>Contacts presse</w:t>
      </w:r>
      <w:r>
        <w:rPr>
          <w:rFonts w:ascii="Arial" w:hAnsi="Arial" w:cs="Arial"/>
          <w:sz w:val="20"/>
          <w:szCs w:val="20"/>
        </w:rPr>
        <w:t> </w:t>
      </w:r>
      <w:r>
        <w:rPr>
          <w:rFonts w:ascii="Arial" w:hAnsi="Arial" w:cs="Arial"/>
          <w:sz w:val="22"/>
          <w:szCs w:val="22"/>
        </w:rPr>
        <w:t xml:space="preserve">: </w:t>
      </w:r>
    </w:p>
    <w:tbl>
      <w:tblPr>
        <w:tblW w:w="0" w:type="auto"/>
        <w:tblCellMar>
          <w:left w:w="0" w:type="dxa"/>
          <w:right w:w="0" w:type="dxa"/>
        </w:tblCellMar>
        <w:tblLook w:val="04A0" w:firstRow="1" w:lastRow="0" w:firstColumn="1" w:lastColumn="0" w:noHBand="0" w:noVBand="1"/>
      </w:tblPr>
      <w:tblGrid>
        <w:gridCol w:w="3088"/>
        <w:gridCol w:w="3344"/>
        <w:gridCol w:w="2229"/>
        <w:gridCol w:w="517"/>
      </w:tblGrid>
      <w:tr w:rsidR="00B640B6" w:rsidRPr="00B640B6" w:rsidTr="00B640B6">
        <w:trPr>
          <w:trHeight w:val="1772"/>
        </w:trPr>
        <w:tc>
          <w:tcPr>
            <w:tcW w:w="3088" w:type="dxa"/>
            <w:tcMar>
              <w:top w:w="0" w:type="dxa"/>
              <w:left w:w="108" w:type="dxa"/>
              <w:bottom w:w="0" w:type="dxa"/>
              <w:right w:w="108" w:type="dxa"/>
            </w:tcMar>
            <w:hideMark/>
          </w:tcPr>
          <w:p w:rsidR="00B640B6" w:rsidRPr="00B640B6" w:rsidRDefault="00B640B6">
            <w:pPr>
              <w:spacing w:line="252" w:lineRule="auto"/>
            </w:pPr>
            <w:r w:rsidRPr="00B640B6">
              <w:rPr>
                <w:rStyle w:val="Lienhypertexte"/>
                <w:rFonts w:ascii="Arial" w:hAnsi="Arial" w:cs="Arial"/>
                <w:b/>
                <w:bCs/>
                <w:color w:val="auto"/>
                <w:sz w:val="20"/>
                <w:szCs w:val="20"/>
                <w:lang w:eastAsia="en-US"/>
              </w:rPr>
              <w:t>Contact Normandie Université :</w:t>
            </w:r>
          </w:p>
          <w:p w:rsidR="00B640B6" w:rsidRPr="00B640B6" w:rsidRDefault="00B640B6">
            <w:pPr>
              <w:spacing w:line="252" w:lineRule="auto"/>
            </w:pPr>
            <w:r w:rsidRPr="00B640B6">
              <w:rPr>
                <w:rFonts w:ascii="Arial" w:hAnsi="Arial" w:cs="Arial"/>
                <w:sz w:val="20"/>
                <w:szCs w:val="20"/>
                <w:lang w:eastAsia="en-US"/>
              </w:rPr>
              <w:t xml:space="preserve">Gwénaëlle </w:t>
            </w:r>
            <w:proofErr w:type="spellStart"/>
            <w:r w:rsidRPr="00B640B6">
              <w:rPr>
                <w:rFonts w:ascii="Arial" w:hAnsi="Arial" w:cs="Arial"/>
                <w:sz w:val="20"/>
                <w:szCs w:val="20"/>
                <w:lang w:eastAsia="en-US"/>
              </w:rPr>
              <w:t>Delpeux</w:t>
            </w:r>
            <w:proofErr w:type="spellEnd"/>
            <w:r w:rsidRPr="00B640B6">
              <w:rPr>
                <w:rFonts w:ascii="Arial" w:hAnsi="Arial" w:cs="Arial"/>
                <w:sz w:val="20"/>
                <w:szCs w:val="20"/>
                <w:lang w:eastAsia="en-US"/>
              </w:rPr>
              <w:t xml:space="preserve">  </w:t>
            </w:r>
          </w:p>
          <w:p w:rsidR="00B640B6" w:rsidRPr="00B640B6" w:rsidRDefault="00B640B6">
            <w:pPr>
              <w:spacing w:line="252" w:lineRule="auto"/>
            </w:pPr>
            <w:r w:rsidRPr="00B640B6">
              <w:rPr>
                <w:rFonts w:ascii="Arial" w:hAnsi="Arial" w:cs="Arial"/>
                <w:sz w:val="20"/>
                <w:szCs w:val="20"/>
                <w:lang w:eastAsia="en-US"/>
              </w:rPr>
              <w:t xml:space="preserve">02 31 56 69 59 l </w:t>
            </w:r>
            <w:hyperlink r:id="rId14" w:history="1">
              <w:r w:rsidRPr="00B640B6">
                <w:rPr>
                  <w:rStyle w:val="Lienhypertexte"/>
                  <w:rFonts w:ascii="Arial" w:hAnsi="Arial" w:cs="Arial"/>
                  <w:color w:val="auto"/>
                  <w:sz w:val="20"/>
                  <w:szCs w:val="20"/>
                  <w:lang w:eastAsia="en-US"/>
                </w:rPr>
                <w:t>gwenaelle.delpeux@normandie-univ.fr</w:t>
              </w:r>
            </w:hyperlink>
          </w:p>
        </w:tc>
        <w:tc>
          <w:tcPr>
            <w:tcW w:w="3344" w:type="dxa"/>
            <w:tcMar>
              <w:top w:w="0" w:type="dxa"/>
              <w:left w:w="108" w:type="dxa"/>
              <w:bottom w:w="0" w:type="dxa"/>
              <w:right w:w="108" w:type="dxa"/>
            </w:tcMar>
            <w:hideMark/>
          </w:tcPr>
          <w:p w:rsidR="00B640B6" w:rsidRPr="00B640B6" w:rsidRDefault="00B640B6">
            <w:pPr>
              <w:spacing w:line="252" w:lineRule="auto"/>
            </w:pPr>
            <w:r w:rsidRPr="00B640B6">
              <w:rPr>
                <w:rStyle w:val="Lienhypertexte"/>
                <w:rFonts w:ascii="Arial" w:hAnsi="Arial" w:cs="Arial"/>
                <w:b/>
                <w:bCs/>
                <w:color w:val="auto"/>
                <w:sz w:val="20"/>
                <w:szCs w:val="20"/>
                <w:lang w:eastAsia="en-US"/>
              </w:rPr>
              <w:t>Région Normandie :</w:t>
            </w:r>
          </w:p>
          <w:p w:rsidR="00B640B6" w:rsidRPr="00B640B6" w:rsidRDefault="00B640B6">
            <w:pPr>
              <w:spacing w:line="252" w:lineRule="auto"/>
            </w:pPr>
            <w:r w:rsidRPr="00B640B6">
              <w:rPr>
                <w:rStyle w:val="Lienhypertexte"/>
                <w:rFonts w:ascii="Arial" w:hAnsi="Arial" w:cs="Arial"/>
                <w:color w:val="auto"/>
                <w:sz w:val="20"/>
                <w:szCs w:val="20"/>
                <w:u w:val="none"/>
                <w:lang w:eastAsia="en-US"/>
              </w:rPr>
              <w:t xml:space="preserve">Charlotte </w:t>
            </w:r>
            <w:proofErr w:type="spellStart"/>
            <w:r w:rsidRPr="00B640B6">
              <w:rPr>
                <w:rStyle w:val="Lienhypertexte"/>
                <w:rFonts w:ascii="Arial" w:hAnsi="Arial" w:cs="Arial"/>
                <w:color w:val="auto"/>
                <w:sz w:val="20"/>
                <w:szCs w:val="20"/>
                <w:u w:val="none"/>
                <w:lang w:eastAsia="en-US"/>
              </w:rPr>
              <w:t>Chanteloup</w:t>
            </w:r>
            <w:proofErr w:type="spellEnd"/>
            <w:r w:rsidRPr="00B640B6">
              <w:rPr>
                <w:rStyle w:val="Lienhypertexte"/>
                <w:rFonts w:ascii="Arial" w:hAnsi="Arial" w:cs="Arial"/>
                <w:color w:val="auto"/>
                <w:sz w:val="20"/>
                <w:szCs w:val="20"/>
                <w:u w:val="none"/>
                <w:lang w:eastAsia="en-US"/>
              </w:rPr>
              <w:t xml:space="preserve">  </w:t>
            </w:r>
          </w:p>
          <w:p w:rsidR="00B640B6" w:rsidRPr="00B640B6" w:rsidRDefault="00B640B6">
            <w:pPr>
              <w:spacing w:line="252" w:lineRule="auto"/>
            </w:pPr>
            <w:r w:rsidRPr="00B640B6">
              <w:rPr>
                <w:rStyle w:val="Lienhypertexte"/>
                <w:rFonts w:ascii="Arial" w:hAnsi="Arial" w:cs="Arial"/>
                <w:color w:val="auto"/>
                <w:sz w:val="20"/>
                <w:szCs w:val="20"/>
                <w:u w:val="none"/>
                <w:lang w:eastAsia="en-US"/>
              </w:rPr>
              <w:t xml:space="preserve">06 42 08 11 68 </w:t>
            </w:r>
          </w:p>
          <w:p w:rsidR="00B640B6" w:rsidRPr="00B640B6" w:rsidRDefault="006B107D">
            <w:pPr>
              <w:spacing w:line="252" w:lineRule="auto"/>
            </w:pPr>
            <w:hyperlink r:id="rId15" w:history="1">
              <w:r w:rsidR="00B640B6" w:rsidRPr="00B640B6">
                <w:rPr>
                  <w:rStyle w:val="Lienhypertexte"/>
                  <w:rFonts w:ascii="Arial" w:hAnsi="Arial" w:cs="Arial"/>
                  <w:color w:val="auto"/>
                  <w:sz w:val="20"/>
                  <w:szCs w:val="20"/>
                  <w:u w:val="none"/>
                  <w:lang w:eastAsia="en-US"/>
                </w:rPr>
                <w:t>charlotte.chanteloup@normandie.fr</w:t>
              </w:r>
            </w:hyperlink>
          </w:p>
          <w:p w:rsidR="00B640B6" w:rsidRPr="00B640B6" w:rsidRDefault="00B640B6">
            <w:pPr>
              <w:spacing w:before="240" w:line="252" w:lineRule="auto"/>
              <w:jc w:val="both"/>
            </w:pPr>
            <w:r w:rsidRPr="00B640B6">
              <w:rPr>
                <w:rFonts w:ascii="Calibri" w:hAnsi="Calibri" w:cs="Calibri"/>
                <w:b/>
                <w:bCs/>
                <w:sz w:val="22"/>
                <w:szCs w:val="22"/>
                <w:lang w:eastAsia="en-US"/>
              </w:rPr>
              <w:t> </w:t>
            </w:r>
          </w:p>
        </w:tc>
        <w:tc>
          <w:tcPr>
            <w:tcW w:w="2249" w:type="dxa"/>
            <w:tcMar>
              <w:top w:w="0" w:type="dxa"/>
              <w:left w:w="108" w:type="dxa"/>
              <w:bottom w:w="0" w:type="dxa"/>
              <w:right w:w="108" w:type="dxa"/>
            </w:tcMar>
            <w:hideMark/>
          </w:tcPr>
          <w:p w:rsidR="00B640B6" w:rsidRPr="00B640B6" w:rsidRDefault="00B640B6">
            <w:pPr>
              <w:spacing w:line="252" w:lineRule="auto"/>
            </w:pPr>
            <w:r w:rsidRPr="00B640B6">
              <w:rPr>
                <w:lang w:eastAsia="en-US"/>
              </w:rPr>
              <w:t> </w:t>
            </w:r>
            <w:r w:rsidRPr="00B640B6">
              <w:rPr>
                <w:rStyle w:val="Lienhypertexte"/>
                <w:rFonts w:ascii="Arial" w:hAnsi="Arial" w:cs="Arial"/>
                <w:b/>
                <w:bCs/>
                <w:color w:val="auto"/>
                <w:sz w:val="20"/>
                <w:szCs w:val="20"/>
                <w:lang w:eastAsia="en-US"/>
              </w:rPr>
              <w:t>CNRS :</w:t>
            </w:r>
          </w:p>
          <w:p w:rsidR="00B640B6" w:rsidRPr="00B640B6" w:rsidRDefault="00B640B6">
            <w:pPr>
              <w:spacing w:line="252" w:lineRule="auto"/>
            </w:pPr>
            <w:r w:rsidRPr="00B640B6">
              <w:rPr>
                <w:rFonts w:ascii="Arial" w:hAnsi="Arial" w:cs="Arial"/>
                <w:sz w:val="20"/>
                <w:szCs w:val="20"/>
                <w:lang w:eastAsia="en-US"/>
              </w:rPr>
              <w:t xml:space="preserve">Magali </w:t>
            </w:r>
            <w:proofErr w:type="spellStart"/>
            <w:r w:rsidRPr="00B640B6">
              <w:rPr>
                <w:rFonts w:ascii="Arial" w:hAnsi="Arial" w:cs="Arial"/>
                <w:sz w:val="20"/>
                <w:szCs w:val="20"/>
                <w:lang w:eastAsia="en-US"/>
              </w:rPr>
              <w:t>Tencé</w:t>
            </w:r>
            <w:proofErr w:type="spellEnd"/>
            <w:r w:rsidRPr="00B640B6">
              <w:rPr>
                <w:rFonts w:ascii="Arial" w:hAnsi="Arial" w:cs="Arial"/>
                <w:sz w:val="20"/>
                <w:szCs w:val="20"/>
                <w:lang w:eastAsia="en-US"/>
              </w:rPr>
              <w:t xml:space="preserve">  </w:t>
            </w:r>
          </w:p>
          <w:p w:rsidR="00B640B6" w:rsidRPr="00B640B6" w:rsidRDefault="00B640B6">
            <w:pPr>
              <w:spacing w:line="252" w:lineRule="auto"/>
            </w:pPr>
            <w:r w:rsidRPr="00B640B6">
              <w:rPr>
                <w:rFonts w:ascii="Arial" w:hAnsi="Arial" w:cs="Arial"/>
                <w:sz w:val="20"/>
                <w:szCs w:val="20"/>
                <w:lang w:eastAsia="en-US"/>
              </w:rPr>
              <w:t xml:space="preserve">06 74 00 06 60 l </w:t>
            </w:r>
            <w:hyperlink r:id="rId16" w:history="1">
              <w:r w:rsidRPr="00B640B6">
                <w:rPr>
                  <w:rStyle w:val="Lienhypertexte"/>
                  <w:rFonts w:ascii="Arial" w:hAnsi="Arial" w:cs="Arial"/>
                  <w:color w:val="auto"/>
                  <w:sz w:val="20"/>
                  <w:szCs w:val="20"/>
                  <w:lang w:eastAsia="en-US"/>
                </w:rPr>
                <w:t>magali.tence@cnrs.fr</w:t>
              </w:r>
            </w:hyperlink>
          </w:p>
          <w:p w:rsidR="00B640B6" w:rsidRPr="00B640B6" w:rsidRDefault="00B640B6">
            <w:pPr>
              <w:spacing w:before="240" w:line="252" w:lineRule="auto"/>
              <w:jc w:val="both"/>
            </w:pPr>
            <w:r w:rsidRPr="00B640B6">
              <w:rPr>
                <w:rFonts w:ascii="Calibri" w:hAnsi="Calibri" w:cs="Calibri"/>
                <w:b/>
                <w:bCs/>
                <w:sz w:val="22"/>
                <w:szCs w:val="22"/>
                <w:lang w:eastAsia="en-US"/>
              </w:rPr>
              <w:t> </w:t>
            </w:r>
          </w:p>
        </w:tc>
        <w:tc>
          <w:tcPr>
            <w:tcW w:w="605" w:type="dxa"/>
          </w:tcPr>
          <w:p w:rsidR="00B640B6" w:rsidRPr="00B640B6" w:rsidRDefault="00B640B6">
            <w:pPr>
              <w:spacing w:line="252" w:lineRule="auto"/>
              <w:rPr>
                <w:lang w:eastAsia="en-US"/>
              </w:rPr>
            </w:pPr>
          </w:p>
        </w:tc>
      </w:tr>
    </w:tbl>
    <w:p w:rsidR="00B640B6" w:rsidRPr="00B71B95" w:rsidRDefault="00B640B6" w:rsidP="00075267">
      <w:pPr>
        <w:tabs>
          <w:tab w:val="left" w:pos="2310"/>
        </w:tabs>
        <w:rPr>
          <w:rFonts w:ascii="Arial" w:hAnsi="Arial" w:cs="Arial"/>
          <w:sz w:val="22"/>
          <w:szCs w:val="22"/>
        </w:rPr>
      </w:pPr>
    </w:p>
    <w:sectPr w:rsidR="00B640B6" w:rsidRPr="00B71B95" w:rsidSect="00CB21B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CC3"/>
    <w:multiLevelType w:val="hybridMultilevel"/>
    <w:tmpl w:val="7EC8551C"/>
    <w:lvl w:ilvl="0" w:tplc="63285CB8">
      <w:start w:val="1"/>
      <w:numFmt w:val="bullet"/>
      <w:lvlText w:val=""/>
      <w:lvlJc w:val="left"/>
      <w:pPr>
        <w:ind w:left="720" w:hanging="360"/>
      </w:pPr>
      <w:rPr>
        <w:rFonts w:ascii="Symbol" w:hAnsi="Symbol" w:hint="default"/>
      </w:rPr>
    </w:lvl>
    <w:lvl w:ilvl="1" w:tplc="E1DC68CA">
      <w:numFmt w:val="bullet"/>
      <w:lvlText w:val="-"/>
      <w:lvlJc w:val="left"/>
      <w:pPr>
        <w:ind w:left="1440" w:hanging="360"/>
      </w:pPr>
      <w:rPr>
        <w:rFonts w:ascii="Arial" w:eastAsia="Calibri" w:hAnsi="Aria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C37F42"/>
    <w:multiLevelType w:val="hybridMultilevel"/>
    <w:tmpl w:val="B19C42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0D47ED"/>
    <w:multiLevelType w:val="hybridMultilevel"/>
    <w:tmpl w:val="D8F012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631D4D"/>
    <w:multiLevelType w:val="hybridMultilevel"/>
    <w:tmpl w:val="86FA89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A75DC4"/>
    <w:multiLevelType w:val="hybridMultilevel"/>
    <w:tmpl w:val="4648A944"/>
    <w:lvl w:ilvl="0" w:tplc="040C0005">
      <w:start w:val="1"/>
      <w:numFmt w:val="bullet"/>
      <w:lvlText w:val=""/>
      <w:lvlJc w:val="left"/>
      <w:pPr>
        <w:ind w:left="3272" w:hanging="360"/>
      </w:pPr>
      <w:rPr>
        <w:rFonts w:ascii="Wingdings" w:hAnsi="Wingdings" w:hint="default"/>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EC"/>
    <w:rsid w:val="00050635"/>
    <w:rsid w:val="00061BC1"/>
    <w:rsid w:val="00075267"/>
    <w:rsid w:val="001310C4"/>
    <w:rsid w:val="001422D9"/>
    <w:rsid w:val="001724A9"/>
    <w:rsid w:val="001F4CF1"/>
    <w:rsid w:val="00241153"/>
    <w:rsid w:val="00280929"/>
    <w:rsid w:val="00295B29"/>
    <w:rsid w:val="002A58AE"/>
    <w:rsid w:val="002F29F1"/>
    <w:rsid w:val="003875F2"/>
    <w:rsid w:val="00432967"/>
    <w:rsid w:val="004B1CA2"/>
    <w:rsid w:val="004D1E4F"/>
    <w:rsid w:val="004E0F3A"/>
    <w:rsid w:val="005533D2"/>
    <w:rsid w:val="0057285D"/>
    <w:rsid w:val="005A0BFA"/>
    <w:rsid w:val="00637C6D"/>
    <w:rsid w:val="0068220A"/>
    <w:rsid w:val="006B107D"/>
    <w:rsid w:val="006B3512"/>
    <w:rsid w:val="00702650"/>
    <w:rsid w:val="0072567D"/>
    <w:rsid w:val="007709C9"/>
    <w:rsid w:val="00773A16"/>
    <w:rsid w:val="00773DDD"/>
    <w:rsid w:val="007D1B24"/>
    <w:rsid w:val="00844C25"/>
    <w:rsid w:val="00900947"/>
    <w:rsid w:val="00927E70"/>
    <w:rsid w:val="009459D4"/>
    <w:rsid w:val="00946093"/>
    <w:rsid w:val="009B17FF"/>
    <w:rsid w:val="00A6383C"/>
    <w:rsid w:val="00A91819"/>
    <w:rsid w:val="00AF1ED9"/>
    <w:rsid w:val="00B23B39"/>
    <w:rsid w:val="00B341CF"/>
    <w:rsid w:val="00B640B6"/>
    <w:rsid w:val="00B71B95"/>
    <w:rsid w:val="00B93EEC"/>
    <w:rsid w:val="00BF5EEC"/>
    <w:rsid w:val="00CA06F8"/>
    <w:rsid w:val="00CB21BF"/>
    <w:rsid w:val="00D12026"/>
    <w:rsid w:val="00D43E67"/>
    <w:rsid w:val="00D75367"/>
    <w:rsid w:val="00DA144A"/>
    <w:rsid w:val="00E07797"/>
    <w:rsid w:val="00E27426"/>
    <w:rsid w:val="00E5419D"/>
    <w:rsid w:val="00E827F7"/>
    <w:rsid w:val="00F10A8E"/>
    <w:rsid w:val="00F54FB7"/>
    <w:rsid w:val="00F70365"/>
    <w:rsid w:val="00F93B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254FA-58C5-419D-9ABA-E33FA652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E4F"/>
    <w:pPr>
      <w:spacing w:after="0" w:line="240" w:lineRule="auto"/>
    </w:pPr>
    <w:rPr>
      <w:rFonts w:ascii="Times New Roman" w:hAnsi="Times New Roman" w:cs="Times New Roman"/>
      <w:sz w:val="24"/>
      <w:szCs w:val="24"/>
      <w:lang w:eastAsia="fr-FR"/>
    </w:rPr>
  </w:style>
  <w:style w:type="paragraph" w:styleId="Titre1">
    <w:name w:val="heading 1"/>
    <w:basedOn w:val="Normal"/>
    <w:link w:val="Titre1Car"/>
    <w:uiPriority w:val="9"/>
    <w:qFormat/>
    <w:rsid w:val="004D1E4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E4F"/>
    <w:rPr>
      <w:rFonts w:ascii="Times New Roman" w:hAnsi="Times New Roman" w:cs="Times New Roman"/>
      <w:b/>
      <w:bCs/>
      <w:kern w:val="36"/>
      <w:sz w:val="48"/>
      <w:szCs w:val="48"/>
      <w:lang w:eastAsia="fr-FR"/>
    </w:rPr>
  </w:style>
  <w:style w:type="character" w:styleId="Lienhypertexte">
    <w:name w:val="Hyperlink"/>
    <w:basedOn w:val="Policepardfaut"/>
    <w:uiPriority w:val="99"/>
    <w:unhideWhenUsed/>
    <w:rsid w:val="004D1E4F"/>
    <w:rPr>
      <w:color w:val="0000FF"/>
      <w:u w:val="single"/>
    </w:rPr>
  </w:style>
  <w:style w:type="paragraph" w:styleId="NormalWeb">
    <w:name w:val="Normal (Web)"/>
    <w:basedOn w:val="Normal"/>
    <w:uiPriority w:val="99"/>
    <w:unhideWhenUsed/>
    <w:rsid w:val="004D1E4F"/>
    <w:pPr>
      <w:spacing w:before="100" w:beforeAutospacing="1" w:after="100" w:afterAutospacing="1"/>
    </w:pPr>
  </w:style>
  <w:style w:type="character" w:styleId="lev">
    <w:name w:val="Strong"/>
    <w:basedOn w:val="Policepardfaut"/>
    <w:uiPriority w:val="22"/>
    <w:qFormat/>
    <w:rsid w:val="004D1E4F"/>
    <w:rPr>
      <w:b/>
      <w:bCs/>
    </w:rPr>
  </w:style>
  <w:style w:type="character" w:styleId="Accentuation">
    <w:name w:val="Emphasis"/>
    <w:basedOn w:val="Policepardfaut"/>
    <w:uiPriority w:val="20"/>
    <w:qFormat/>
    <w:rsid w:val="004D1E4F"/>
    <w:rPr>
      <w:i/>
      <w:iCs/>
    </w:rPr>
  </w:style>
  <w:style w:type="paragraph" w:styleId="Textedebulles">
    <w:name w:val="Balloon Text"/>
    <w:basedOn w:val="Normal"/>
    <w:link w:val="TextedebullesCar"/>
    <w:uiPriority w:val="99"/>
    <w:semiHidden/>
    <w:unhideWhenUsed/>
    <w:rsid w:val="004D1E4F"/>
    <w:rPr>
      <w:rFonts w:ascii="Tahoma" w:hAnsi="Tahoma" w:cs="Tahoma"/>
      <w:sz w:val="16"/>
      <w:szCs w:val="16"/>
    </w:rPr>
  </w:style>
  <w:style w:type="character" w:customStyle="1" w:styleId="TextedebullesCar">
    <w:name w:val="Texte de bulles Car"/>
    <w:basedOn w:val="Policepardfaut"/>
    <w:link w:val="Textedebulles"/>
    <w:uiPriority w:val="99"/>
    <w:semiHidden/>
    <w:rsid w:val="004D1E4F"/>
    <w:rPr>
      <w:rFonts w:ascii="Tahoma" w:hAnsi="Tahoma" w:cs="Tahoma"/>
      <w:sz w:val="16"/>
      <w:szCs w:val="16"/>
      <w:lang w:eastAsia="fr-FR"/>
    </w:rPr>
  </w:style>
  <w:style w:type="paragraph" w:styleId="Paragraphedeliste">
    <w:name w:val="List Paragraph"/>
    <w:basedOn w:val="Normal"/>
    <w:uiPriority w:val="34"/>
    <w:qFormat/>
    <w:rsid w:val="004D1E4F"/>
    <w:pPr>
      <w:ind w:left="720"/>
      <w:contextualSpacing/>
    </w:pPr>
  </w:style>
  <w:style w:type="table" w:styleId="Grilledutableau">
    <w:name w:val="Table Grid"/>
    <w:basedOn w:val="TableauNormal"/>
    <w:uiPriority w:val="39"/>
    <w:rsid w:val="00637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37C6D"/>
    <w:rPr>
      <w:color w:val="954F72" w:themeColor="followedHyperlink"/>
      <w:u w:val="single"/>
    </w:rPr>
  </w:style>
  <w:style w:type="paragraph" w:customStyle="1" w:styleId="Contenudecadre">
    <w:name w:val="Contenu de cadre"/>
    <w:basedOn w:val="Normal"/>
    <w:uiPriority w:val="99"/>
    <w:qFormat/>
    <w:rsid w:val="001422D9"/>
    <w:rPr>
      <w:rFonts w:ascii="Times" w:eastAsia="Times" w:hAnsi="Times"/>
      <w:szCs w:val="20"/>
    </w:rPr>
  </w:style>
  <w:style w:type="paragraph" w:customStyle="1" w:styleId="Default">
    <w:name w:val="Default"/>
    <w:uiPriority w:val="99"/>
    <w:rsid w:val="00CB21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udecadre0">
    <w:name w:val="contenudecadre"/>
    <w:basedOn w:val="Normal"/>
    <w:uiPriority w:val="99"/>
    <w:rsid w:val="00B640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5679">
      <w:bodyDiv w:val="1"/>
      <w:marLeft w:val="0"/>
      <w:marRight w:val="0"/>
      <w:marTop w:val="0"/>
      <w:marBottom w:val="0"/>
      <w:divBdr>
        <w:top w:val="none" w:sz="0" w:space="0" w:color="auto"/>
        <w:left w:val="none" w:sz="0" w:space="0" w:color="auto"/>
        <w:bottom w:val="none" w:sz="0" w:space="0" w:color="auto"/>
        <w:right w:val="none" w:sz="0" w:space="0" w:color="auto"/>
      </w:divBdr>
    </w:div>
    <w:div w:id="731394175">
      <w:bodyDiv w:val="1"/>
      <w:marLeft w:val="0"/>
      <w:marRight w:val="0"/>
      <w:marTop w:val="0"/>
      <w:marBottom w:val="0"/>
      <w:divBdr>
        <w:top w:val="none" w:sz="0" w:space="0" w:color="auto"/>
        <w:left w:val="none" w:sz="0" w:space="0" w:color="auto"/>
        <w:bottom w:val="none" w:sz="0" w:space="0" w:color="auto"/>
        <w:right w:val="none" w:sz="0" w:space="0" w:color="auto"/>
      </w:divBdr>
    </w:div>
    <w:div w:id="767576800">
      <w:bodyDiv w:val="1"/>
      <w:marLeft w:val="0"/>
      <w:marRight w:val="0"/>
      <w:marTop w:val="0"/>
      <w:marBottom w:val="0"/>
      <w:divBdr>
        <w:top w:val="none" w:sz="0" w:space="0" w:color="auto"/>
        <w:left w:val="none" w:sz="0" w:space="0" w:color="auto"/>
        <w:bottom w:val="none" w:sz="0" w:space="0" w:color="auto"/>
        <w:right w:val="none" w:sz="0" w:space="0" w:color="auto"/>
      </w:divBdr>
    </w:div>
    <w:div w:id="1026516004">
      <w:bodyDiv w:val="1"/>
      <w:marLeft w:val="0"/>
      <w:marRight w:val="0"/>
      <w:marTop w:val="0"/>
      <w:marBottom w:val="0"/>
      <w:divBdr>
        <w:top w:val="none" w:sz="0" w:space="0" w:color="auto"/>
        <w:left w:val="none" w:sz="0" w:space="0" w:color="auto"/>
        <w:bottom w:val="none" w:sz="0" w:space="0" w:color="auto"/>
        <w:right w:val="none" w:sz="0" w:space="0" w:color="auto"/>
      </w:divBdr>
    </w:div>
    <w:div w:id="1093090180">
      <w:bodyDiv w:val="1"/>
      <w:marLeft w:val="0"/>
      <w:marRight w:val="0"/>
      <w:marTop w:val="0"/>
      <w:marBottom w:val="0"/>
      <w:divBdr>
        <w:top w:val="none" w:sz="0" w:space="0" w:color="auto"/>
        <w:left w:val="none" w:sz="0" w:space="0" w:color="auto"/>
        <w:bottom w:val="none" w:sz="0" w:space="0" w:color="auto"/>
        <w:right w:val="none" w:sz="0" w:space="0" w:color="auto"/>
      </w:divBdr>
    </w:div>
    <w:div w:id="1412459802">
      <w:bodyDiv w:val="1"/>
      <w:marLeft w:val="0"/>
      <w:marRight w:val="0"/>
      <w:marTop w:val="0"/>
      <w:marBottom w:val="0"/>
      <w:divBdr>
        <w:top w:val="none" w:sz="0" w:space="0" w:color="auto"/>
        <w:left w:val="none" w:sz="0" w:space="0" w:color="auto"/>
        <w:bottom w:val="none" w:sz="0" w:space="0" w:color="auto"/>
        <w:right w:val="none" w:sz="0" w:space="0" w:color="auto"/>
      </w:divBdr>
    </w:div>
    <w:div w:id="16508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part12.7A46FFBA.CFFC30A6@normandie-univ.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part8.120AE2E8.4809B8A1@normandie-univ.fr"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gali.tence@cnrs.f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part11.630FCB71.8CABDDF1@normandie-univ.fr" TargetMode="External"/><Relationship Id="rId5" Type="http://schemas.openxmlformats.org/officeDocument/2006/relationships/image" Target="media/image1.png"/><Relationship Id="rId15" Type="http://schemas.openxmlformats.org/officeDocument/2006/relationships/hyperlink" Target="mailto:charlotte.chanteloup@normandie.fr"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gwenaelle.delpeux@normandie-uni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723</Words>
  <Characters>3980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CHANTELOUP Charlotte</cp:lastModifiedBy>
  <cp:revision>33</cp:revision>
  <cp:lastPrinted>2020-10-15T07:36:00Z</cp:lastPrinted>
  <dcterms:created xsi:type="dcterms:W3CDTF">2019-09-16T17:03:00Z</dcterms:created>
  <dcterms:modified xsi:type="dcterms:W3CDTF">2020-10-15T12:59:00Z</dcterms:modified>
</cp:coreProperties>
</file>